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09" w:rsidRDefault="00155809" w:rsidP="00155809">
      <w:pPr>
        <w:pStyle w:val="20"/>
        <w:shd w:val="clear" w:color="auto" w:fill="auto"/>
        <w:spacing w:after="4062"/>
        <w:ind w:left="100"/>
      </w:pPr>
      <w:r>
        <w:t>Управление образования администрации Дзун-Хемчикского кожууна</w:t>
      </w:r>
    </w:p>
    <w:p w:rsidR="00155809" w:rsidRDefault="00155809" w:rsidP="00155809">
      <w:pPr>
        <w:pStyle w:val="10"/>
        <w:keepNext/>
        <w:keepLines/>
        <w:shd w:val="clear" w:color="auto" w:fill="auto"/>
        <w:spacing w:before="0" w:after="0" w:line="890" w:lineRule="exact"/>
        <w:ind w:left="100"/>
      </w:pPr>
      <w:bookmarkStart w:id="0" w:name="bookmark0"/>
      <w:r>
        <w:t>итоговый отчет</w:t>
      </w:r>
      <w:bookmarkEnd w:id="0"/>
    </w:p>
    <w:p w:rsidR="00155809" w:rsidRDefault="00155809" w:rsidP="00155809">
      <w:pPr>
        <w:pStyle w:val="30"/>
        <w:shd w:val="clear" w:color="auto" w:fill="auto"/>
        <w:spacing w:before="0"/>
        <w:ind w:left="100"/>
      </w:pPr>
      <w:r>
        <w:t>о результатах мониторинга системы образования Дзун-Хемчикского кожууна Республики Тыва</w:t>
      </w:r>
    </w:p>
    <w:p w:rsidR="00155809" w:rsidRDefault="00155809" w:rsidP="00155809">
      <w:pPr>
        <w:pStyle w:val="20"/>
        <w:shd w:val="clear" w:color="auto" w:fill="auto"/>
        <w:spacing w:after="0" w:line="422" w:lineRule="exact"/>
        <w:ind w:left="100"/>
      </w:pPr>
      <w:r>
        <w:t>за 2018 г</w:t>
      </w:r>
    </w:p>
    <w:p w:rsidR="00155809" w:rsidRDefault="00155809" w:rsidP="00155809">
      <w:pPr>
        <w:rPr>
          <w:rFonts w:ascii="Times New Roman" w:eastAsia="Times New Roman" w:hAnsi="Times New Roman" w:cs="Times New Roman"/>
          <w:sz w:val="34"/>
          <w:szCs w:val="34"/>
        </w:rPr>
        <w:sectPr w:rsidR="00155809">
          <w:pgSz w:w="11905" w:h="16837"/>
          <w:pgMar w:top="1070" w:right="445" w:bottom="901" w:left="1520" w:header="0" w:footer="3" w:gutter="0"/>
          <w:cols w:space="720"/>
        </w:sectPr>
      </w:pPr>
    </w:p>
    <w:p w:rsidR="00155809" w:rsidRDefault="00155809" w:rsidP="00155809">
      <w:pPr>
        <w:keepNext/>
        <w:keepLines/>
        <w:ind w:left="40"/>
      </w:pPr>
      <w:bookmarkStart w:id="1" w:name="bookmark1"/>
      <w:r>
        <w:rPr>
          <w:rFonts w:hint="eastAsia"/>
        </w:rPr>
        <w:lastRenderedPageBreak/>
        <w:t>ИТОГОВЫЙ</w:t>
      </w:r>
      <w:r>
        <w:rPr>
          <w:rFonts w:hint="eastAsia"/>
        </w:rPr>
        <w:t xml:space="preserve"> </w:t>
      </w:r>
      <w:r>
        <w:rPr>
          <w:rFonts w:hint="eastAsia"/>
        </w:rPr>
        <w:t>ОТЧЕТ</w:t>
      </w:r>
      <w:r>
        <w:rPr>
          <w:rFonts w:hint="eastAsia"/>
        </w:rPr>
        <w:t xml:space="preserve"> </w:t>
      </w:r>
      <w:r>
        <w:rPr>
          <w:rStyle w:val="31"/>
          <w:rFonts w:eastAsia="Arial Unicode MS"/>
        </w:rPr>
        <w:t xml:space="preserve">управления образования администрации </w:t>
      </w:r>
      <w:bookmarkEnd w:id="1"/>
      <w:proofErr w:type="spellStart"/>
      <w:r>
        <w:rPr>
          <w:rStyle w:val="31"/>
          <w:rFonts w:eastAsia="Arial Unicode MS"/>
        </w:rPr>
        <w:t>Дзун-Хемчикскогокожууна</w:t>
      </w:r>
      <w:proofErr w:type="spellEnd"/>
      <w:r>
        <w:rPr>
          <w:rStyle w:val="31"/>
          <w:rFonts w:eastAsia="Arial Unicode MS"/>
        </w:rPr>
        <w:t xml:space="preserve"> Республики Тыва</w:t>
      </w:r>
    </w:p>
    <w:p w:rsidR="00155809" w:rsidRDefault="00155809" w:rsidP="00155809">
      <w:pPr>
        <w:pStyle w:val="40"/>
        <w:shd w:val="clear" w:color="auto" w:fill="auto"/>
        <w:spacing w:after="32"/>
        <w:ind w:left="40"/>
        <w:rPr>
          <w:rFonts w:hint="eastAsia"/>
        </w:rPr>
      </w:pPr>
      <w:r>
        <w:t>(наименование органа местного самоуправления, осуществляющего управление в сфере образования, проводившего мониторинг системы образования)</w:t>
      </w:r>
    </w:p>
    <w:p w:rsidR="00155809" w:rsidRDefault="00155809" w:rsidP="00155809">
      <w:pPr>
        <w:keepNext/>
        <w:keepLines/>
        <w:spacing w:line="270" w:lineRule="exact"/>
        <w:ind w:left="40"/>
      </w:pPr>
      <w:bookmarkStart w:id="2" w:name="bookmark3"/>
      <w:r>
        <w:rPr>
          <w:rFonts w:hint="eastAsia"/>
        </w:rPr>
        <w:t>о</w:t>
      </w:r>
      <w:r>
        <w:rPr>
          <w:rFonts w:hint="eastAsia"/>
        </w:rPr>
        <w:t xml:space="preserve"> </w:t>
      </w:r>
      <w:r>
        <w:rPr>
          <w:rFonts w:hint="eastAsia"/>
        </w:rPr>
        <w:t>результатах</w:t>
      </w:r>
      <w:r>
        <w:rPr>
          <w:rFonts w:hint="eastAsia"/>
        </w:rPr>
        <w:t xml:space="preserve"> </w:t>
      </w:r>
      <w:r>
        <w:rPr>
          <w:rFonts w:hint="eastAsia"/>
        </w:rPr>
        <w:t>мониторинга</w:t>
      </w:r>
      <w:r>
        <w:rPr>
          <w:rFonts w:hint="eastAsia"/>
        </w:rPr>
        <w:t xml:space="preserve"> </w:t>
      </w:r>
      <w:r>
        <w:rPr>
          <w:rFonts w:hint="eastAsia"/>
        </w:rPr>
        <w:t>системы</w:t>
      </w:r>
      <w:r>
        <w:rPr>
          <w:rFonts w:hint="eastAsia"/>
        </w:rPr>
        <w:t xml:space="preserve"> </w:t>
      </w:r>
      <w:r>
        <w:rPr>
          <w:rFonts w:hint="eastAsia"/>
        </w:rPr>
        <w:t>образования</w:t>
      </w:r>
      <w:bookmarkEnd w:id="2"/>
    </w:p>
    <w:p w:rsidR="00155809" w:rsidRDefault="00155809" w:rsidP="00155809">
      <w:pPr>
        <w:keepNext/>
        <w:keepLines/>
        <w:spacing w:line="648" w:lineRule="exact"/>
        <w:ind w:left="40"/>
        <w:rPr>
          <w:rFonts w:hint="eastAsia"/>
        </w:rPr>
      </w:pPr>
      <w:bookmarkStart w:id="3" w:name="bookmark4"/>
      <w:r>
        <w:rPr>
          <w:rFonts w:hint="eastAsia"/>
        </w:rPr>
        <w:t>за</w:t>
      </w:r>
      <w:r>
        <w:rPr>
          <w:rFonts w:hint="eastAsia"/>
        </w:rPr>
        <w:t xml:space="preserve"> 2018 </w:t>
      </w:r>
      <w:r>
        <w:rPr>
          <w:rFonts w:hint="eastAsia"/>
        </w:rPr>
        <w:t>год</w:t>
      </w:r>
      <w:bookmarkEnd w:id="3"/>
    </w:p>
    <w:p w:rsidR="00155809" w:rsidRDefault="00155809" w:rsidP="00155809">
      <w:pPr>
        <w:keepNext/>
        <w:keepLines/>
        <w:spacing w:line="648" w:lineRule="exact"/>
        <w:ind w:left="40"/>
        <w:rPr>
          <w:rFonts w:hint="eastAsia"/>
        </w:rPr>
      </w:pPr>
      <w:bookmarkStart w:id="4" w:name="bookmark5"/>
      <w:r>
        <w:rPr>
          <w:rFonts w:hint="eastAsia"/>
        </w:rPr>
        <w:t xml:space="preserve">1. </w:t>
      </w:r>
      <w:r>
        <w:rPr>
          <w:rFonts w:hint="eastAsia"/>
        </w:rPr>
        <w:t>Анализ</w:t>
      </w:r>
      <w:r>
        <w:rPr>
          <w:rFonts w:hint="eastAsia"/>
        </w:rPr>
        <w:t xml:space="preserve"> </w:t>
      </w:r>
      <w:r>
        <w:rPr>
          <w:rFonts w:hint="eastAsia"/>
        </w:rPr>
        <w:t>состояния</w:t>
      </w:r>
      <w:r>
        <w:rPr>
          <w:rFonts w:hint="eastAsia"/>
        </w:rPr>
        <w:t xml:space="preserve"> </w:t>
      </w:r>
      <w:r>
        <w:rPr>
          <w:rFonts w:hint="eastAsia"/>
        </w:rPr>
        <w:t>и</w:t>
      </w:r>
      <w:r>
        <w:rPr>
          <w:rFonts w:hint="eastAsia"/>
        </w:rPr>
        <w:t xml:space="preserve"> </w:t>
      </w:r>
      <w:r>
        <w:rPr>
          <w:rFonts w:hint="eastAsia"/>
        </w:rPr>
        <w:t>перспектив</w:t>
      </w:r>
      <w:r>
        <w:rPr>
          <w:rFonts w:hint="eastAsia"/>
        </w:rPr>
        <w:t xml:space="preserve"> </w:t>
      </w:r>
      <w:r>
        <w:rPr>
          <w:rFonts w:hint="eastAsia"/>
        </w:rPr>
        <w:t>развития</w:t>
      </w:r>
      <w:r>
        <w:rPr>
          <w:rFonts w:hint="eastAsia"/>
        </w:rPr>
        <w:t xml:space="preserve"> </w:t>
      </w:r>
      <w:r>
        <w:rPr>
          <w:rFonts w:hint="eastAsia"/>
        </w:rPr>
        <w:t>системы</w:t>
      </w:r>
      <w:r>
        <w:rPr>
          <w:rFonts w:hint="eastAsia"/>
        </w:rPr>
        <w:t xml:space="preserve"> </w:t>
      </w:r>
      <w:r>
        <w:rPr>
          <w:rFonts w:hint="eastAsia"/>
        </w:rPr>
        <w:t>образования</w:t>
      </w:r>
      <w:bookmarkEnd w:id="4"/>
    </w:p>
    <w:p w:rsidR="00155809" w:rsidRDefault="00155809" w:rsidP="00155809">
      <w:pPr>
        <w:pStyle w:val="50"/>
        <w:shd w:val="clear" w:color="auto" w:fill="auto"/>
        <w:ind w:left="40"/>
        <w:rPr>
          <w:rFonts w:hint="eastAsia"/>
        </w:rPr>
      </w:pPr>
      <w:r>
        <w:t>1.1. Вводная часть</w:t>
      </w:r>
    </w:p>
    <w:p w:rsidR="00155809" w:rsidRDefault="00155809" w:rsidP="00155809">
      <w:pPr>
        <w:pStyle w:val="11"/>
        <w:shd w:val="clear" w:color="auto" w:fill="auto"/>
        <w:ind w:left="20" w:right="20" w:firstLine="540"/>
      </w:pPr>
      <w:r>
        <w:t xml:space="preserve">В 2018 году в </w:t>
      </w:r>
      <w:proofErr w:type="spellStart"/>
      <w:r>
        <w:t>Дзун-Хемчикскомкожууне</w:t>
      </w:r>
      <w:proofErr w:type="spellEnd"/>
      <w:r>
        <w:t xml:space="preserve"> функционировало 13 дошкольных образовательных учреждений, 15 общеобразовательных учреждений и 1учреждение дополнительного образования.</w:t>
      </w:r>
    </w:p>
    <w:p w:rsidR="00155809" w:rsidRDefault="00155809" w:rsidP="00155809">
      <w:pPr>
        <w:pStyle w:val="11"/>
        <w:shd w:val="clear" w:color="auto" w:fill="auto"/>
        <w:ind w:left="20" w:firstLine="540"/>
      </w:pPr>
      <w:r>
        <w:t>Основные направления деятельности учреждений образования:</w:t>
      </w:r>
    </w:p>
    <w:p w:rsidR="00155809" w:rsidRDefault="00155809" w:rsidP="00155809">
      <w:pPr>
        <w:pStyle w:val="11"/>
        <w:numPr>
          <w:ilvl w:val="0"/>
          <w:numId w:val="1"/>
        </w:numPr>
        <w:shd w:val="clear" w:color="auto" w:fill="auto"/>
        <w:tabs>
          <w:tab w:val="left" w:pos="894"/>
        </w:tabs>
        <w:ind w:left="20" w:right="20" w:firstLine="540"/>
      </w:pPr>
      <w:r>
        <w:t>Реализация образовательных программ начального, общего, основного общего образования.</w:t>
      </w:r>
    </w:p>
    <w:p w:rsidR="00155809" w:rsidRDefault="00155809" w:rsidP="00155809">
      <w:pPr>
        <w:pStyle w:val="11"/>
        <w:shd w:val="clear" w:color="auto" w:fill="auto"/>
        <w:ind w:left="20" w:right="20" w:firstLine="540"/>
      </w:pPr>
      <w:r>
        <w:t>Созданы условия для реализации гарантированного гражданам Российской Федерации права на получение общедоступного и бесплатного дошкольного, начального общего, основного общего,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155809" w:rsidRDefault="00155809" w:rsidP="00155809">
      <w:pPr>
        <w:pStyle w:val="11"/>
        <w:numPr>
          <w:ilvl w:val="0"/>
          <w:numId w:val="1"/>
        </w:numPr>
        <w:shd w:val="clear" w:color="auto" w:fill="auto"/>
        <w:tabs>
          <w:tab w:val="left" w:pos="906"/>
        </w:tabs>
        <w:ind w:left="20" w:firstLine="540"/>
      </w:pPr>
      <w:r>
        <w:t>Реализация основных задач дошкольного образования.</w:t>
      </w:r>
    </w:p>
    <w:p w:rsidR="00155809" w:rsidRDefault="00155809" w:rsidP="00155809">
      <w:pPr>
        <w:pStyle w:val="11"/>
        <w:shd w:val="clear" w:color="auto" w:fill="auto"/>
        <w:ind w:left="20" w:firstLine="540"/>
      </w:pPr>
      <w:r>
        <w:t>Основными задачами дошкольного образования являются:</w:t>
      </w:r>
    </w:p>
    <w:p w:rsidR="00155809" w:rsidRDefault="00155809" w:rsidP="00155809">
      <w:pPr>
        <w:pStyle w:val="11"/>
        <w:shd w:val="clear" w:color="auto" w:fill="auto"/>
        <w:ind w:left="20" w:right="20" w:firstLine="540"/>
      </w:pPr>
      <w:r>
        <w:t>-охрана жизни и укрепление физического и психического здоровья воспитанников;</w:t>
      </w:r>
    </w:p>
    <w:p w:rsidR="00155809" w:rsidRDefault="00155809" w:rsidP="00155809">
      <w:pPr>
        <w:pStyle w:val="11"/>
        <w:shd w:val="clear" w:color="auto" w:fill="auto"/>
        <w:tabs>
          <w:tab w:val="left" w:pos="2994"/>
          <w:tab w:val="left" w:pos="6814"/>
        </w:tabs>
        <w:ind w:left="20" w:firstLine="540"/>
      </w:pPr>
      <w:r>
        <w:t>-обеспечение</w:t>
      </w:r>
      <w:r>
        <w:tab/>
      </w:r>
      <w:proofErr w:type="gramStart"/>
      <w:r>
        <w:t>познавательно-речевого</w:t>
      </w:r>
      <w:proofErr w:type="gramEnd"/>
      <w:r>
        <w:t>,</w:t>
      </w:r>
      <w:r>
        <w:tab/>
        <w:t>социально-личностного,</w:t>
      </w:r>
    </w:p>
    <w:p w:rsidR="00155809" w:rsidRDefault="00155809" w:rsidP="00155809">
      <w:pPr>
        <w:pStyle w:val="11"/>
        <w:shd w:val="clear" w:color="auto" w:fill="auto"/>
        <w:ind w:left="20" w:firstLine="0"/>
        <w:jc w:val="left"/>
      </w:pPr>
      <w:r>
        <w:t>художественно-эстетического и физического развития воспитанников;</w:t>
      </w:r>
    </w:p>
    <w:p w:rsidR="00155809" w:rsidRDefault="00155809" w:rsidP="00155809">
      <w:pPr>
        <w:pStyle w:val="11"/>
        <w:shd w:val="clear" w:color="auto" w:fill="auto"/>
        <w:ind w:left="20" w:right="20" w:firstLine="540"/>
      </w:pPr>
      <w: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155809" w:rsidRDefault="00155809" w:rsidP="00155809">
      <w:pPr>
        <w:pStyle w:val="11"/>
        <w:numPr>
          <w:ilvl w:val="0"/>
          <w:numId w:val="2"/>
        </w:numPr>
        <w:shd w:val="clear" w:color="auto" w:fill="auto"/>
        <w:tabs>
          <w:tab w:val="left" w:pos="735"/>
        </w:tabs>
        <w:ind w:left="20" w:right="20" w:firstLine="540"/>
      </w:pPr>
      <w:r>
        <w:t>осуществление необходимой коррекции недостатков в физическом и (или) психическом развитии воспитанников;</w:t>
      </w:r>
    </w:p>
    <w:p w:rsidR="00155809" w:rsidRDefault="00155809" w:rsidP="00155809">
      <w:pPr>
        <w:pStyle w:val="11"/>
        <w:numPr>
          <w:ilvl w:val="0"/>
          <w:numId w:val="2"/>
        </w:numPr>
        <w:shd w:val="clear" w:color="auto" w:fill="auto"/>
        <w:tabs>
          <w:tab w:val="left" w:pos="745"/>
        </w:tabs>
        <w:ind w:left="20" w:right="20" w:firstLine="540"/>
      </w:pPr>
      <w:r>
        <w:t>взаимодействие с семьями воспитанников для обеспечения полноценного развития воспитанников;</w:t>
      </w:r>
    </w:p>
    <w:p w:rsidR="00155809" w:rsidRDefault="00155809" w:rsidP="00155809">
      <w:pPr>
        <w:pStyle w:val="11"/>
        <w:numPr>
          <w:ilvl w:val="0"/>
          <w:numId w:val="2"/>
        </w:numPr>
        <w:shd w:val="clear" w:color="auto" w:fill="auto"/>
        <w:tabs>
          <w:tab w:val="left" w:pos="750"/>
        </w:tabs>
        <w:ind w:left="20" w:right="20" w:firstLine="540"/>
      </w:pPr>
      <w:r>
        <w:lastRenderedPageBreak/>
        <w:t>оказание консультативной и методической помощи родителям (законным представителям) по вопросам воспитания, обучения и развития детей.</w:t>
      </w:r>
    </w:p>
    <w:p w:rsidR="00155809" w:rsidRDefault="00155809" w:rsidP="00155809">
      <w:pPr>
        <w:pStyle w:val="11"/>
        <w:numPr>
          <w:ilvl w:val="1"/>
          <w:numId w:val="2"/>
        </w:numPr>
        <w:shd w:val="clear" w:color="auto" w:fill="auto"/>
        <w:tabs>
          <w:tab w:val="left" w:pos="956"/>
        </w:tabs>
        <w:ind w:left="20" w:right="20" w:firstLine="540"/>
      </w:pPr>
      <w:r>
        <w:t>Осуществление присмотра и ухода за детьми, содержание детей в дошкольных образовательных учреждениях.</w:t>
      </w:r>
    </w:p>
    <w:p w:rsidR="00155809" w:rsidRDefault="00155809" w:rsidP="00155809">
      <w:pPr>
        <w:pStyle w:val="11"/>
        <w:numPr>
          <w:ilvl w:val="1"/>
          <w:numId w:val="2"/>
        </w:numPr>
        <w:shd w:val="clear" w:color="auto" w:fill="auto"/>
        <w:tabs>
          <w:tab w:val="left" w:pos="944"/>
        </w:tabs>
        <w:ind w:left="20" w:firstLine="540"/>
      </w:pPr>
      <w:r>
        <w:t>Реализация дополнительных образовательных программ в интересах</w:t>
      </w:r>
    </w:p>
    <w:p w:rsidR="00155809" w:rsidRDefault="00155809" w:rsidP="00155809">
      <w:pPr>
        <w:pStyle w:val="11"/>
        <w:shd w:val="clear" w:color="auto" w:fill="auto"/>
        <w:ind w:left="20" w:firstLine="0"/>
        <w:jc w:val="left"/>
      </w:pPr>
      <w:r>
        <w:t>личности, общества, государства, в том числе по следующим направлениям:</w:t>
      </w:r>
    </w:p>
    <w:p w:rsidR="00155809" w:rsidRDefault="00155809" w:rsidP="00155809">
      <w:pPr>
        <w:pStyle w:val="11"/>
        <w:shd w:val="clear" w:color="auto" w:fill="auto"/>
        <w:tabs>
          <w:tab w:val="left" w:pos="1202"/>
        </w:tabs>
        <w:ind w:left="20" w:firstLine="880"/>
      </w:pPr>
      <w:r>
        <w:t>а)</w:t>
      </w:r>
      <w:r>
        <w:tab/>
        <w:t>художественно-эстетическая,</w:t>
      </w:r>
    </w:p>
    <w:p w:rsidR="00155809" w:rsidRDefault="00155809" w:rsidP="00155809">
      <w:pPr>
        <w:pStyle w:val="11"/>
        <w:shd w:val="clear" w:color="auto" w:fill="auto"/>
        <w:tabs>
          <w:tab w:val="left" w:pos="1202"/>
        </w:tabs>
        <w:ind w:left="20" w:firstLine="880"/>
      </w:pPr>
      <w:r>
        <w:t>б)</w:t>
      </w:r>
      <w:r>
        <w:tab/>
        <w:t>социально-педагогическая,</w:t>
      </w:r>
    </w:p>
    <w:p w:rsidR="00155809" w:rsidRDefault="00155809" w:rsidP="00155809">
      <w:pPr>
        <w:pStyle w:val="11"/>
        <w:shd w:val="clear" w:color="auto" w:fill="auto"/>
        <w:tabs>
          <w:tab w:val="left" w:pos="1188"/>
        </w:tabs>
        <w:ind w:left="20" w:firstLine="880"/>
      </w:pPr>
      <w:r>
        <w:t>в)</w:t>
      </w:r>
      <w:r>
        <w:tab/>
        <w:t>физкультурно-спортивная.</w:t>
      </w:r>
    </w:p>
    <w:p w:rsidR="00155809" w:rsidRDefault="00155809" w:rsidP="00155809">
      <w:pPr>
        <w:pStyle w:val="11"/>
        <w:shd w:val="clear" w:color="auto" w:fill="auto"/>
        <w:tabs>
          <w:tab w:val="left" w:pos="1188"/>
        </w:tabs>
        <w:ind w:left="20" w:firstLine="880"/>
      </w:pPr>
      <w:r>
        <w:t>г</w:t>
      </w:r>
      <w:proofErr w:type="gramStart"/>
      <w:r>
        <w:t>)</w:t>
      </w:r>
      <w:proofErr w:type="spellStart"/>
      <w:r>
        <w:t>т</w:t>
      </w:r>
      <w:proofErr w:type="gramEnd"/>
      <w:r>
        <w:t>уристко</w:t>
      </w:r>
      <w:proofErr w:type="spellEnd"/>
      <w:r>
        <w:t xml:space="preserve"> -краеведческая </w:t>
      </w:r>
    </w:p>
    <w:p w:rsidR="00155809" w:rsidRDefault="00155809" w:rsidP="00155809">
      <w:pPr>
        <w:pStyle w:val="11"/>
        <w:shd w:val="clear" w:color="auto" w:fill="auto"/>
        <w:tabs>
          <w:tab w:val="left" w:pos="1188"/>
        </w:tabs>
        <w:ind w:left="20" w:firstLine="880"/>
      </w:pPr>
      <w:proofErr w:type="spellStart"/>
      <w:r>
        <w:t>д</w:t>
      </w:r>
      <w:proofErr w:type="spellEnd"/>
      <w:r>
        <w:t>) естественнонаучное</w:t>
      </w:r>
    </w:p>
    <w:p w:rsidR="00155809" w:rsidRDefault="00155809" w:rsidP="00155809">
      <w:pPr>
        <w:pStyle w:val="11"/>
        <w:shd w:val="clear" w:color="auto" w:fill="auto"/>
        <w:tabs>
          <w:tab w:val="left" w:pos="1188"/>
        </w:tabs>
        <w:ind w:left="20" w:firstLine="880"/>
      </w:pPr>
      <w:r>
        <w:t>е) техническое</w:t>
      </w:r>
    </w:p>
    <w:p w:rsidR="00155809" w:rsidRDefault="00155809" w:rsidP="00155809">
      <w:pPr>
        <w:pStyle w:val="11"/>
        <w:shd w:val="clear" w:color="auto" w:fill="auto"/>
        <w:ind w:left="20" w:right="60" w:firstLine="520"/>
      </w:pPr>
      <w:proofErr w:type="gramStart"/>
      <w:r>
        <w:t>Дополнительное образование детей направлено на формирование и развитие их творческих способностей, удовлетворение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и обеспечивает адаптацию детей к жизни в обществе, профессиональную ориентацию, а также выявление и поддержку детей, проявивших выдающиеся способности.</w:t>
      </w:r>
      <w:proofErr w:type="gramEnd"/>
    </w:p>
    <w:p w:rsidR="00155809" w:rsidRDefault="00155809" w:rsidP="00155809">
      <w:pPr>
        <w:pStyle w:val="11"/>
        <w:shd w:val="clear" w:color="auto" w:fill="auto"/>
        <w:ind w:left="20" w:firstLine="520"/>
      </w:pPr>
      <w:r>
        <w:t>5. Организация отдыха детей в каникулярное время.</w:t>
      </w:r>
    </w:p>
    <w:p w:rsidR="00155809" w:rsidRDefault="00155809" w:rsidP="00155809">
      <w:pPr>
        <w:pStyle w:val="11"/>
        <w:shd w:val="clear" w:color="auto" w:fill="auto"/>
        <w:ind w:left="20" w:right="60" w:firstLine="520"/>
      </w:pPr>
      <w:r>
        <w:t>В целом деятельность муниципальных образовательных учреждений направлена на формирование общей культуры обучающихся на основе усвоения общего минимума содержания образовательных программ, адаптацию обучающихся к жизни в обществе, воспитанию гражданственности, трудолюбия, уважения к правам и свободам человека, любви к окружающей природе, Родине, семье. Учреждения формируют навыки и привычки здорового образа жизни, организуют содержательный досуг, удовлетворяют потребности детей в занятиях физической культурой и спортом, а также приобщают детей к национально-культурным традициям.</w:t>
      </w:r>
    </w:p>
    <w:p w:rsidR="00155809" w:rsidRDefault="00155809" w:rsidP="00155809">
      <w:pPr>
        <w:pStyle w:val="11"/>
        <w:shd w:val="clear" w:color="auto" w:fill="auto"/>
        <w:ind w:left="20" w:right="60" w:firstLine="880"/>
      </w:pPr>
      <w:r>
        <w:t xml:space="preserve">В </w:t>
      </w:r>
      <w:proofErr w:type="spellStart"/>
      <w:r>
        <w:t>Дзун-Хемчикскомкожууне</w:t>
      </w:r>
      <w:proofErr w:type="spellEnd"/>
      <w:r>
        <w:t xml:space="preserve"> функционирует 29 общеобразовательных учреждений: 1основная общеобразовательная школа-интернат санаторного типа, 14 средних общеобразовательных школ, 13 дошкольных образовательных организаций, 1 учреждение дополнительного образования.</w:t>
      </w:r>
    </w:p>
    <w:p w:rsidR="00155809" w:rsidRDefault="00155809" w:rsidP="00155809">
      <w:pPr>
        <w:pStyle w:val="11"/>
        <w:shd w:val="clear" w:color="auto" w:fill="auto"/>
        <w:ind w:left="20" w:right="60" w:firstLine="520"/>
      </w:pPr>
      <w:r>
        <w:t xml:space="preserve">Среднегодовое количество учащихся общеобразовательных школ составило 4186 чел. (в том числе </w:t>
      </w:r>
      <w:proofErr w:type="gramStart"/>
      <w:r>
        <w:t>вечерние</w:t>
      </w:r>
      <w:proofErr w:type="gramEnd"/>
      <w:r>
        <w:t xml:space="preserve"> 65 чел.). Среднегодовое количество классов общеобразовательных школ составило 235 </w:t>
      </w:r>
      <w:proofErr w:type="spellStart"/>
      <w:r>
        <w:t>кл</w:t>
      </w:r>
      <w:proofErr w:type="spellEnd"/>
      <w:r>
        <w:t xml:space="preserve">. (в том числе </w:t>
      </w:r>
      <w:proofErr w:type="gramStart"/>
      <w:r>
        <w:t>вечерние</w:t>
      </w:r>
      <w:proofErr w:type="gramEnd"/>
      <w:r>
        <w:t xml:space="preserve"> 5 </w:t>
      </w:r>
      <w:proofErr w:type="spellStart"/>
      <w:r>
        <w:t>кл</w:t>
      </w:r>
      <w:proofErr w:type="spellEnd"/>
      <w:r>
        <w:t>.). Среднегодовое количество учащихся в 2018 году по сравнению с 2017 годом увеличилось на 126 человек. По состоянию на 01.09.2018г.:</w:t>
      </w:r>
    </w:p>
    <w:p w:rsidR="00155809" w:rsidRDefault="00155809" w:rsidP="00155809">
      <w:pPr>
        <w:pStyle w:val="11"/>
        <w:numPr>
          <w:ilvl w:val="0"/>
          <w:numId w:val="3"/>
        </w:numPr>
        <w:shd w:val="clear" w:color="auto" w:fill="auto"/>
        <w:tabs>
          <w:tab w:val="left" w:pos="735"/>
        </w:tabs>
        <w:ind w:left="20" w:right="60" w:firstLine="520"/>
      </w:pPr>
      <w:r>
        <w:t xml:space="preserve">количество детей с ограниченными возможностями здоровья 65 человек, количество детей с ограниченными возможностями здоровья, занимающихся в обычных классах - 25 человек, на домашнем обучении - 33 человек. Удельный вес численности детей с ограниченными возможностями здоровья, обучающихся в классах, не являющихся специальными (коррекционными) общеобразовательных организаций в общей численности детей с </w:t>
      </w:r>
      <w:r>
        <w:lastRenderedPageBreak/>
        <w:t xml:space="preserve">ограниченными возможностями здоровья, обучающихся в общеобразовательных организациях составляет 38,4%, в коррекционных классах обучаются 11 человек, из них 1 ребенок-инвалид, 10 ОВЗ с задержкой психического развития. </w:t>
      </w:r>
    </w:p>
    <w:p w:rsidR="00155809" w:rsidRDefault="00155809" w:rsidP="00155809">
      <w:pPr>
        <w:pStyle w:val="11"/>
        <w:shd w:val="clear" w:color="auto" w:fill="auto"/>
        <w:ind w:left="500" w:right="20" w:firstLine="500"/>
      </w:pPr>
      <w:r>
        <w:t xml:space="preserve">■ </w:t>
      </w:r>
      <w:proofErr w:type="gramStart"/>
      <w:r>
        <w:t>у</w:t>
      </w:r>
      <w:proofErr w:type="gramEnd"/>
      <w:r>
        <w:t>дельный вес численности детей с ОВЗ от общего числа обучающихся в ОУ и ДОУ составляет 2,4%. Из них детей в дошкольных образовательных учреждениях- 14, в общеобразовательных учреждениях- 65.</w:t>
      </w:r>
    </w:p>
    <w:p w:rsidR="00155809" w:rsidRDefault="00155809" w:rsidP="00155809">
      <w:pPr>
        <w:pStyle w:val="11"/>
        <w:shd w:val="clear" w:color="auto" w:fill="auto"/>
        <w:ind w:left="20" w:right="20" w:firstLine="500"/>
      </w:pPr>
      <w:r>
        <w:t>Среднесписочная численность педагогических работников общеобразовательных организаций составляет 581 чел., их них учителей - 562 чел, воспитатели и специалисты в ДОУ 199 (без внешних совместителей).</w:t>
      </w:r>
    </w:p>
    <w:p w:rsidR="00155809" w:rsidRDefault="00155809" w:rsidP="00155809">
      <w:pPr>
        <w:pStyle w:val="11"/>
        <w:shd w:val="clear" w:color="auto" w:fill="auto"/>
        <w:ind w:left="20" w:right="20" w:firstLine="500"/>
      </w:pPr>
      <w:r>
        <w:t>Численность учащихся в общеобразовательных организациях в расчете на 1 педагогического работника составляет 18,12 чел., численность учащихся в общеобразовательных организациях в расчете на 1 учителя составляет 18,73 чел.</w:t>
      </w:r>
    </w:p>
    <w:p w:rsidR="00155809" w:rsidRDefault="00155809" w:rsidP="00155809">
      <w:pPr>
        <w:pStyle w:val="11"/>
        <w:shd w:val="clear" w:color="auto" w:fill="auto"/>
        <w:ind w:left="20" w:right="20" w:firstLine="500"/>
      </w:pPr>
      <w:r>
        <w:t>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 составляет 10 чел.</w:t>
      </w:r>
    </w:p>
    <w:p w:rsidR="00155809" w:rsidRDefault="00155809" w:rsidP="00155809">
      <w:pPr>
        <w:pStyle w:val="11"/>
        <w:shd w:val="clear" w:color="auto" w:fill="auto"/>
        <w:ind w:left="20" w:right="20" w:firstLine="500"/>
      </w:pPr>
      <w:r>
        <w:t xml:space="preserve">В ходе модернизации общего образования улучшена инфраструктура и материально-техническое обеспечение общеобразовательных учреждений. В школы поставлено учебное оборудование, спортивное и компьютерное оборудование, спортивный инвентарь. Так, в МБОУ </w:t>
      </w:r>
      <w:proofErr w:type="spellStart"/>
      <w:r>
        <w:t>Шеминской</w:t>
      </w:r>
      <w:proofErr w:type="spellEnd"/>
      <w:r>
        <w:t xml:space="preserve"> СОШ оснащен полностью 1 класс-комплект учебного оборудования. Были пополнены художественной и справочной литературой фонды школьных библиотек. Выполнены обязательства по повышению квалификации и профессиональной подготовки педагогических работников для работы в соответствии с федеральными государственными образовательными стандартами.</w:t>
      </w:r>
    </w:p>
    <w:p w:rsidR="00155809" w:rsidRDefault="00155809" w:rsidP="00155809">
      <w:pPr>
        <w:pStyle w:val="11"/>
        <w:shd w:val="clear" w:color="auto" w:fill="auto"/>
        <w:ind w:left="20" w:right="20" w:firstLine="500"/>
      </w:pPr>
      <w:r>
        <w:t>Сегодня результат образования - это не только знания ребенка по конкретным дисциплинам, но и умение применять их в повседневной жизни, использовать в дальнейшем обучении. Это стало возможным при переходе учреждений на новые образовательные стандарты.</w:t>
      </w:r>
    </w:p>
    <w:p w:rsidR="00155809" w:rsidRDefault="00155809" w:rsidP="00155809">
      <w:pPr>
        <w:pStyle w:val="11"/>
        <w:shd w:val="clear" w:color="auto" w:fill="auto"/>
        <w:ind w:left="20" w:right="20" w:firstLine="500"/>
      </w:pPr>
      <w:r>
        <w:t>Федеральный государственный образовательный стандарт начального общего образования в штатном режиме введен во всех школах кожууна.</w:t>
      </w:r>
    </w:p>
    <w:p w:rsidR="00155809" w:rsidRDefault="00155809" w:rsidP="00155809">
      <w:pPr>
        <w:pStyle w:val="11"/>
        <w:shd w:val="clear" w:color="auto" w:fill="auto"/>
        <w:ind w:left="20" w:right="20" w:firstLine="700"/>
      </w:pPr>
      <w:proofErr w:type="gramStart"/>
      <w:r>
        <w:t xml:space="preserve">В 2018 году по новым образовательным стандартам начального общего образования обучались учащиеся всех 15 общеобразовательных учреждений кожууна, основного общего образования введен в штатном режиме в 8-х классах 12 учреждений, в экспериментальном режиме осуществлен переход на ФГОС среднего общего образования обучающихся 11-х классов МБОУ СОШ № 1 г. Чадан, МБОУ СОШ № 3 г. Чадан и МБОУ </w:t>
      </w:r>
      <w:proofErr w:type="spellStart"/>
      <w:r>
        <w:t>Хондергейской</w:t>
      </w:r>
      <w:proofErr w:type="spellEnd"/>
      <w:r>
        <w:t xml:space="preserve"> СОШ.</w:t>
      </w:r>
      <w:proofErr w:type="gramEnd"/>
    </w:p>
    <w:p w:rsidR="00155809" w:rsidRDefault="00155809" w:rsidP="00155809">
      <w:pPr>
        <w:pStyle w:val="11"/>
        <w:shd w:val="clear" w:color="auto" w:fill="auto"/>
        <w:ind w:left="20" w:right="20" w:firstLine="560"/>
      </w:pPr>
      <w:r>
        <w:t>В 2018 году по новым образовательным стандартам начального общего образования обучались учащиеся 101 классов, основного общего образования – 81 классов общеобразовательных учреждений. Численность учащихся, обучающихся по ФГОС от общего числа школьников, составила 88,9 %.</w:t>
      </w:r>
    </w:p>
    <w:p w:rsidR="00155809" w:rsidRDefault="00155809" w:rsidP="00155809">
      <w:pPr>
        <w:pStyle w:val="11"/>
        <w:shd w:val="clear" w:color="auto" w:fill="auto"/>
        <w:ind w:left="20" w:right="20" w:firstLine="720"/>
      </w:pPr>
      <w:r>
        <w:lastRenderedPageBreak/>
        <w:t xml:space="preserve">В </w:t>
      </w:r>
      <w:proofErr w:type="spellStart"/>
      <w:r>
        <w:t>Дзун-Хемчикском</w:t>
      </w:r>
      <w:proofErr w:type="spellEnd"/>
      <w:r>
        <w:t xml:space="preserve"> </w:t>
      </w:r>
      <w:proofErr w:type="spellStart"/>
      <w:r>
        <w:t>кожууне</w:t>
      </w:r>
      <w:proofErr w:type="spellEnd"/>
      <w:r>
        <w:t xml:space="preserve"> проводится целенаправленная работа по развитию инновационной работы   в образовательных организациях.</w:t>
      </w:r>
    </w:p>
    <w:p w:rsidR="00155809" w:rsidRDefault="00155809" w:rsidP="00155809">
      <w:pPr>
        <w:pStyle w:val="11"/>
        <w:shd w:val="clear" w:color="auto" w:fill="auto"/>
        <w:ind w:left="20" w:right="20" w:firstLine="720"/>
      </w:pPr>
      <w:r>
        <w:t xml:space="preserve">В </w:t>
      </w:r>
      <w:proofErr w:type="spellStart"/>
      <w:r>
        <w:t>Дзун-Хемчикском</w:t>
      </w:r>
      <w:proofErr w:type="spellEnd"/>
      <w:r>
        <w:t xml:space="preserve"> </w:t>
      </w:r>
      <w:proofErr w:type="spellStart"/>
      <w:r>
        <w:t>кожууне</w:t>
      </w:r>
      <w:proofErr w:type="spellEnd"/>
      <w:r>
        <w:t xml:space="preserve"> проводится целенаправленная работа по развитию инновационной работы   в образовательных организациях.</w:t>
      </w:r>
    </w:p>
    <w:p w:rsidR="00155809" w:rsidRDefault="00155809" w:rsidP="00155809">
      <w:pPr>
        <w:pStyle w:val="11"/>
        <w:shd w:val="clear" w:color="auto" w:fill="auto"/>
        <w:ind w:left="20" w:right="20" w:firstLine="720"/>
      </w:pPr>
      <w:r>
        <w:t>Во всех школах и детских садах функционируют регулярно обновляемые сайты. Расходы на подключение (обеспечение доступа) к внешним информационным ресурсам направлены на обеспечение выполнения текущей деятельности учреждений</w:t>
      </w:r>
      <w:r>
        <w:rPr>
          <w:highlight w:val="green"/>
        </w:rPr>
        <w:t>.</w:t>
      </w:r>
    </w:p>
    <w:p w:rsidR="00155809" w:rsidRDefault="00155809" w:rsidP="00155809">
      <w:pPr>
        <w:pStyle w:val="11"/>
        <w:shd w:val="clear" w:color="auto" w:fill="auto"/>
        <w:ind w:left="20" w:right="20" w:firstLine="720"/>
      </w:pPr>
      <w:r>
        <w:t>Во всех школах функционируют регулярно обновляемые сайты. Расходы на подключение (обеспечение доступа) к внешним информационным ресурсам направлены на обеспечение выполнения текущей деятельности учреждений.</w:t>
      </w:r>
    </w:p>
    <w:p w:rsidR="00155809" w:rsidRDefault="00155809" w:rsidP="00155809">
      <w:pPr>
        <w:pStyle w:val="11"/>
        <w:shd w:val="clear" w:color="auto" w:fill="auto"/>
        <w:ind w:left="20" w:right="20" w:firstLine="720"/>
      </w:pPr>
      <w:r>
        <w:t>Объем финансирования на общеобразовательные учреждения в 2018 году составили 403494 тыс. руб., их них бюджетные средства - 402618 тыс. руб. (99,7 % от объема финансирования), внебюджетные источники финансирования - 876тыс</w:t>
      </w:r>
      <w:proofErr w:type="gramStart"/>
      <w:r>
        <w:t>.р</w:t>
      </w:r>
      <w:proofErr w:type="gramEnd"/>
      <w:r>
        <w:t>уб. (0,3 % от объема финансирования). Общий объем финансовых средств, поступивших в общеобразовательные организации, в расчете на одного учащегося 94,9 тыс</w:t>
      </w:r>
      <w:proofErr w:type="gramStart"/>
      <w:r>
        <w:t>.р</w:t>
      </w:r>
      <w:proofErr w:type="gramEnd"/>
      <w:r>
        <w:t>уб.</w:t>
      </w:r>
    </w:p>
    <w:p w:rsidR="00155809" w:rsidRDefault="00155809" w:rsidP="00155809">
      <w:pPr>
        <w:pStyle w:val="11"/>
        <w:shd w:val="clear" w:color="auto" w:fill="auto"/>
        <w:ind w:left="20" w:right="20" w:firstLine="720"/>
      </w:pPr>
      <w:r>
        <w:t>Исполнение составило 100%</w:t>
      </w:r>
    </w:p>
    <w:p w:rsidR="00155809" w:rsidRDefault="00155809" w:rsidP="00155809">
      <w:pPr>
        <w:pStyle w:val="11"/>
        <w:shd w:val="clear" w:color="auto" w:fill="auto"/>
        <w:ind w:left="20" w:right="20" w:firstLine="720"/>
      </w:pPr>
      <w:r>
        <w:t xml:space="preserve">Всего в районе функционирует 13  дошкольных образовательных учреждений: 1 детский сад комбинированного вида   с возрастными группами для детей с туберкулезной интоксикацией.  </w:t>
      </w:r>
    </w:p>
    <w:p w:rsidR="00155809" w:rsidRDefault="00155809" w:rsidP="00155809">
      <w:pPr>
        <w:pStyle w:val="11"/>
        <w:shd w:val="clear" w:color="auto" w:fill="auto"/>
        <w:ind w:left="20" w:right="20" w:firstLine="720"/>
      </w:pPr>
      <w:r>
        <w:t xml:space="preserve">За 2018 год в сети дошкольных образовательных организаций реорганизованы 4 детских садов, путем присоединения. </w:t>
      </w:r>
    </w:p>
    <w:p w:rsidR="00155809" w:rsidRDefault="00155809" w:rsidP="00155809">
      <w:pPr>
        <w:pStyle w:val="11"/>
        <w:shd w:val="clear" w:color="auto" w:fill="auto"/>
        <w:ind w:left="20" w:right="20" w:firstLine="720"/>
      </w:pPr>
      <w:r>
        <w:t>За счет поэтапного введения дополнительных мест путем строек зданий для дополнительных групп дошкольных образовательных организаций  доступность дошкольного образования детей  в возрасте 1,6 до 7 лет составляет 66%. По сравнению с прошлым годом увеличилась  на 1 %.</w:t>
      </w:r>
    </w:p>
    <w:p w:rsidR="00155809" w:rsidRDefault="00155809" w:rsidP="00155809">
      <w:pPr>
        <w:pStyle w:val="11"/>
        <w:shd w:val="clear" w:color="auto" w:fill="auto"/>
        <w:ind w:left="20" w:right="20" w:firstLine="880"/>
      </w:pPr>
      <w:r>
        <w:t xml:space="preserve">В 2018 году в </w:t>
      </w:r>
      <w:proofErr w:type="spellStart"/>
      <w:r>
        <w:t>кожууне</w:t>
      </w:r>
      <w:proofErr w:type="spellEnd"/>
      <w:r>
        <w:t xml:space="preserve"> работало 4 консультационных пунктов: «Родничок», «Радуга», « </w:t>
      </w:r>
      <w:proofErr w:type="spellStart"/>
      <w:r>
        <w:t>Хээлер</w:t>
      </w:r>
      <w:proofErr w:type="spellEnd"/>
      <w:r>
        <w:t xml:space="preserve">», «Малышок». </w:t>
      </w:r>
    </w:p>
    <w:p w:rsidR="00155809" w:rsidRDefault="00155809" w:rsidP="00155809">
      <w:pPr>
        <w:pStyle w:val="11"/>
        <w:shd w:val="clear" w:color="auto" w:fill="auto"/>
        <w:ind w:left="20" w:right="20" w:firstLine="720"/>
      </w:pPr>
      <w:r>
        <w:t xml:space="preserve">За год работы пунктами за консультационной помощью обратились 310 родителей. В работе пункта задействовано 17 </w:t>
      </w:r>
      <w:proofErr w:type="gramStart"/>
      <w:r>
        <w:t>педагогических</w:t>
      </w:r>
      <w:proofErr w:type="gramEnd"/>
      <w:r>
        <w:t xml:space="preserve"> работника, это воспитатели, психологи, учителя-логопеды, старшие воспитатели.</w:t>
      </w:r>
    </w:p>
    <w:p w:rsidR="00155809" w:rsidRDefault="00155809" w:rsidP="00155809">
      <w:pPr>
        <w:pStyle w:val="11"/>
        <w:shd w:val="clear" w:color="auto" w:fill="auto"/>
        <w:ind w:left="20" w:right="20" w:firstLine="720"/>
      </w:pPr>
      <w:r>
        <w:t xml:space="preserve">Среднегодовое количество детей в дошкольных образовательных учреждениях составляет 2067 чел, в том числе ясельного возраста 499 чел. Среднегодовое количество детей в группах кратковременного пребывания (3-5 часов) 188 чел  Удельный вес численности детей, обучающихся в группах кратковременного пребывания, в общей численности воспитанников дошкольных образовательных организаций составляет 9 %. </w:t>
      </w:r>
    </w:p>
    <w:p w:rsidR="00155809" w:rsidRDefault="00155809" w:rsidP="00155809">
      <w:pPr>
        <w:pStyle w:val="11"/>
        <w:shd w:val="clear" w:color="auto" w:fill="auto"/>
        <w:ind w:left="20" w:right="20" w:firstLine="720"/>
      </w:pPr>
      <w:proofErr w:type="gramStart"/>
      <w:r>
        <w:t xml:space="preserve">Зарегистрированы в электронной очереди на получение мест в дошкольных образовательных организациях, осуществляющих образовательную деятельность по образовательным программам дошкольного образования,  присмотр и уход за детьми  в </w:t>
      </w:r>
      <w:proofErr w:type="spellStart"/>
      <w:r>
        <w:t>кожууне</w:t>
      </w:r>
      <w:proofErr w:type="spellEnd"/>
      <w:r>
        <w:t xml:space="preserve"> 509 детей, из них в возрасте от 0 до 3 лет 506 (16%), от 3 до 7 лет 3 ребенка (0,09%).</w:t>
      </w:r>
      <w:proofErr w:type="gramEnd"/>
    </w:p>
    <w:p w:rsidR="00155809" w:rsidRDefault="00155809" w:rsidP="00155809">
      <w:pPr>
        <w:pStyle w:val="11"/>
        <w:shd w:val="clear" w:color="auto" w:fill="auto"/>
        <w:ind w:left="20" w:right="20" w:firstLine="720"/>
      </w:pPr>
      <w:r>
        <w:t xml:space="preserve">В дошкольных образовательных учреждениях </w:t>
      </w:r>
      <w:proofErr w:type="gramStart"/>
      <w:r>
        <w:t>охвачены</w:t>
      </w:r>
      <w:proofErr w:type="gramEnd"/>
      <w:r>
        <w:t xml:space="preserve"> дополнительным образованием всего 1260 детей по разным направлениям:</w:t>
      </w:r>
    </w:p>
    <w:p w:rsidR="00155809" w:rsidRDefault="00155809" w:rsidP="00155809">
      <w:pPr>
        <w:pStyle w:val="11"/>
        <w:numPr>
          <w:ilvl w:val="0"/>
          <w:numId w:val="4"/>
        </w:numPr>
        <w:shd w:val="clear" w:color="auto" w:fill="auto"/>
        <w:ind w:right="20"/>
      </w:pPr>
      <w:r>
        <w:lastRenderedPageBreak/>
        <w:t>Художественно-эстетическое- 317,</w:t>
      </w:r>
    </w:p>
    <w:p w:rsidR="00155809" w:rsidRDefault="00155809" w:rsidP="00155809">
      <w:pPr>
        <w:pStyle w:val="11"/>
        <w:numPr>
          <w:ilvl w:val="0"/>
          <w:numId w:val="4"/>
        </w:numPr>
        <w:shd w:val="clear" w:color="auto" w:fill="auto"/>
        <w:ind w:right="20"/>
      </w:pPr>
      <w:r>
        <w:t>Физкультурно-спортивное-203,</w:t>
      </w:r>
    </w:p>
    <w:p w:rsidR="00155809" w:rsidRDefault="00155809" w:rsidP="00155809">
      <w:pPr>
        <w:pStyle w:val="11"/>
        <w:numPr>
          <w:ilvl w:val="0"/>
          <w:numId w:val="4"/>
        </w:numPr>
        <w:shd w:val="clear" w:color="auto" w:fill="auto"/>
        <w:ind w:right="20"/>
      </w:pPr>
      <w:r>
        <w:t>Техническое-73,</w:t>
      </w:r>
    </w:p>
    <w:p w:rsidR="00155809" w:rsidRDefault="00155809" w:rsidP="00155809">
      <w:pPr>
        <w:pStyle w:val="11"/>
        <w:numPr>
          <w:ilvl w:val="0"/>
          <w:numId w:val="4"/>
        </w:numPr>
        <w:shd w:val="clear" w:color="auto" w:fill="auto"/>
        <w:ind w:right="20"/>
      </w:pPr>
      <w:r>
        <w:t>Естественно-научное-201,</w:t>
      </w:r>
    </w:p>
    <w:p w:rsidR="00155809" w:rsidRDefault="00155809" w:rsidP="00155809">
      <w:pPr>
        <w:pStyle w:val="11"/>
        <w:numPr>
          <w:ilvl w:val="0"/>
          <w:numId w:val="4"/>
        </w:numPr>
        <w:shd w:val="clear" w:color="auto" w:fill="auto"/>
        <w:ind w:right="20"/>
      </w:pPr>
      <w:r>
        <w:t>Туристко-краеведческое-46,</w:t>
      </w:r>
    </w:p>
    <w:p w:rsidR="00155809" w:rsidRDefault="00155809" w:rsidP="00155809">
      <w:pPr>
        <w:pStyle w:val="11"/>
        <w:shd w:val="clear" w:color="auto" w:fill="auto"/>
        <w:ind w:left="20" w:right="20" w:firstLine="720"/>
      </w:pPr>
      <w:r>
        <w:t>Социально-педагогическое-420</w:t>
      </w:r>
    </w:p>
    <w:p w:rsidR="00155809" w:rsidRDefault="00155809" w:rsidP="00155809">
      <w:pPr>
        <w:pStyle w:val="11"/>
        <w:shd w:val="clear" w:color="auto" w:fill="auto"/>
        <w:ind w:left="20" w:right="20" w:firstLine="680"/>
      </w:pPr>
      <w:r>
        <w:t xml:space="preserve">По сравнению с 2017 годом количество педагогов дошкольного образования, имеющих первую квалификационную категорию, выросло со 71 (36%) до 87 (43%), педагогов имеющих высшую квалификационную категорию  не изменилось 2 (1%). </w:t>
      </w:r>
    </w:p>
    <w:p w:rsidR="00155809" w:rsidRDefault="00155809" w:rsidP="00155809">
      <w:pPr>
        <w:pStyle w:val="11"/>
        <w:shd w:val="clear" w:color="auto" w:fill="auto"/>
        <w:ind w:left="20" w:right="20" w:firstLine="720"/>
      </w:pPr>
    </w:p>
    <w:p w:rsidR="00155809" w:rsidRDefault="00155809" w:rsidP="00155809">
      <w:pPr>
        <w:pStyle w:val="11"/>
        <w:shd w:val="clear" w:color="auto" w:fill="auto"/>
        <w:ind w:left="20" w:right="20" w:firstLine="720"/>
      </w:pPr>
      <w:r>
        <w:t>Объем финансирования на дошкольные образовательные учреждения в 2018 году составили 217256,5 тыс. руб., их них бюджетные средства – 199237,8 тыс. руб. (92 % от объема финансирования), внебюджетные источники финансирования – 18018,7 тыс</w:t>
      </w:r>
      <w:proofErr w:type="gramStart"/>
      <w:r>
        <w:t>.р</w:t>
      </w:r>
      <w:proofErr w:type="gramEnd"/>
      <w:r>
        <w:t>уб. (8 % от объема финансирования). Исполнение составило 100 %.</w:t>
      </w:r>
    </w:p>
    <w:p w:rsidR="00155809" w:rsidRDefault="00155809" w:rsidP="00155809">
      <w:pPr>
        <w:pStyle w:val="11"/>
        <w:shd w:val="clear" w:color="auto" w:fill="auto"/>
        <w:ind w:left="20" w:right="20" w:firstLine="720"/>
      </w:pPr>
      <w:r>
        <w:t>Общий объем финансовых средств, поступивших в дошкольные образовательные организации, в расчете на одного воспитанника составляет 105тыс. руб.</w:t>
      </w:r>
    </w:p>
    <w:p w:rsidR="00155809" w:rsidRDefault="00155809" w:rsidP="00155809">
      <w:pPr>
        <w:pStyle w:val="11"/>
        <w:shd w:val="clear" w:color="auto" w:fill="auto"/>
        <w:ind w:left="20" w:right="20" w:firstLine="540"/>
      </w:pPr>
      <w:r>
        <w:t xml:space="preserve">В системе образования </w:t>
      </w:r>
      <w:proofErr w:type="spellStart"/>
      <w:r>
        <w:t>кожуунафункционирует</w:t>
      </w:r>
      <w:proofErr w:type="spellEnd"/>
      <w:r>
        <w:t xml:space="preserve"> 1учреждение дополнительного образования по следующим направлениям:</w:t>
      </w:r>
    </w:p>
    <w:p w:rsidR="00155809" w:rsidRDefault="00155809" w:rsidP="00155809">
      <w:pPr>
        <w:pStyle w:val="11"/>
        <w:shd w:val="clear" w:color="auto" w:fill="auto"/>
        <w:ind w:left="20" w:right="20" w:firstLine="540"/>
      </w:pPr>
      <w:r>
        <w:t>-совершенствование системы духовно-нравственного воспитания детей;</w:t>
      </w:r>
    </w:p>
    <w:p w:rsidR="00155809" w:rsidRDefault="00155809" w:rsidP="00155809">
      <w:pPr>
        <w:pStyle w:val="11"/>
        <w:shd w:val="clear" w:color="auto" w:fill="auto"/>
        <w:ind w:left="20" w:right="20" w:firstLine="540"/>
      </w:pPr>
      <w:r>
        <w:t xml:space="preserve">-создание условий для удовлетворения образовательных потребностей детей и организации их досуга через внеурочную деятельность и </w:t>
      </w:r>
      <w:proofErr w:type="spellStart"/>
      <w:r>
        <w:t>ситему</w:t>
      </w:r>
      <w:proofErr w:type="spellEnd"/>
      <w:r>
        <w:t xml:space="preserve"> дополнительного образования;</w:t>
      </w:r>
    </w:p>
    <w:p w:rsidR="00155809" w:rsidRDefault="00155809" w:rsidP="00155809">
      <w:pPr>
        <w:pStyle w:val="11"/>
        <w:shd w:val="clear" w:color="auto" w:fill="auto"/>
        <w:ind w:left="20" w:right="20" w:firstLine="540"/>
      </w:pPr>
      <w:r>
        <w:t>-повышение эффективности профилактической работы с учащимися, формирования здорового образа  жизни.</w:t>
      </w:r>
    </w:p>
    <w:p w:rsidR="00155809" w:rsidRDefault="00155809" w:rsidP="00155809">
      <w:pPr>
        <w:pStyle w:val="11"/>
        <w:shd w:val="clear" w:color="auto" w:fill="auto"/>
        <w:ind w:left="20" w:right="20" w:firstLine="720"/>
      </w:pPr>
      <w:proofErr w:type="gramStart"/>
      <w:r>
        <w:t>Обучающиеся от 5 до 18 лет в количестве 616 чел. занимающиеся в общеобразовательных школах, являются воспитанниками учреждений дополнительного образования детей.</w:t>
      </w:r>
      <w:proofErr w:type="gramEnd"/>
    </w:p>
    <w:p w:rsidR="00155809" w:rsidRDefault="00155809" w:rsidP="00155809">
      <w:pPr>
        <w:pStyle w:val="11"/>
        <w:shd w:val="clear" w:color="auto" w:fill="auto"/>
        <w:ind w:left="20" w:right="20" w:firstLine="540"/>
      </w:pPr>
      <w:r>
        <w:t>В учреждении дополнительного образования насчитывается 3 объединение: физкультурно-спортивной направленности – 1</w:t>
      </w:r>
    </w:p>
    <w:p w:rsidR="00155809" w:rsidRDefault="00155809" w:rsidP="00155809">
      <w:pPr>
        <w:pStyle w:val="11"/>
        <w:shd w:val="clear" w:color="auto" w:fill="auto"/>
        <w:ind w:left="20" w:right="20" w:firstLine="0"/>
      </w:pPr>
      <w:r>
        <w:t>научно-технического цикла - 8</w:t>
      </w:r>
    </w:p>
    <w:p w:rsidR="00155809" w:rsidRDefault="00155809" w:rsidP="00155809">
      <w:pPr>
        <w:pStyle w:val="11"/>
        <w:shd w:val="clear" w:color="auto" w:fill="auto"/>
        <w:ind w:left="20" w:right="20" w:firstLine="0"/>
      </w:pPr>
      <w:r>
        <w:t>социально-педагогического – 2 (</w:t>
      </w:r>
      <w:proofErr w:type="spellStart"/>
      <w:r>
        <w:t>предшкола</w:t>
      </w:r>
      <w:proofErr w:type="spellEnd"/>
      <w:r>
        <w:t>)</w:t>
      </w:r>
    </w:p>
    <w:p w:rsidR="00155809" w:rsidRDefault="00155809" w:rsidP="00155809">
      <w:pPr>
        <w:pStyle w:val="11"/>
        <w:shd w:val="clear" w:color="auto" w:fill="auto"/>
        <w:ind w:left="20" w:right="20" w:firstLine="0"/>
      </w:pPr>
      <w:r>
        <w:tab/>
        <w:t>Система дополнительного образования в нашем районе предоставляет возможность заниматься разным возрастным группам, начиная с дошкольников и заканчивая учащимися старших классов. Работа всех кружков способствует развитию творческих, познавательных, физических способностей детей.</w:t>
      </w:r>
    </w:p>
    <w:p w:rsidR="00155809" w:rsidRDefault="00155809" w:rsidP="00155809">
      <w:pPr>
        <w:pStyle w:val="11"/>
        <w:shd w:val="clear" w:color="auto" w:fill="auto"/>
        <w:spacing w:after="60"/>
        <w:ind w:left="20" w:right="20" w:firstLine="720"/>
      </w:pPr>
      <w:r>
        <w:t xml:space="preserve">Педагоги, занимающиеся со своими воспитанниками юным модельером, </w:t>
      </w:r>
      <w:proofErr w:type="spellStart"/>
      <w:r>
        <w:t>судомоделированием</w:t>
      </w:r>
      <w:proofErr w:type="spellEnd"/>
      <w:r>
        <w:t>, декоративно - прикладным творчеством делятся своим опытом на краевых и районных семинарах и педагогических фестивалях.</w:t>
      </w:r>
    </w:p>
    <w:p w:rsidR="00155809" w:rsidRDefault="00155809" w:rsidP="00155809">
      <w:pPr>
        <w:pStyle w:val="11"/>
        <w:shd w:val="clear" w:color="auto" w:fill="auto"/>
        <w:ind w:left="20" w:right="20" w:firstLine="720"/>
      </w:pPr>
      <w:r>
        <w:t xml:space="preserve">Система дополнительного образования Дзун-Хемчикского кожууна предоставляет возможность заниматься разным возрастным группам, начиная с дошкольников и заканчивая учащимися старших классов. Работа всех кружков </w:t>
      </w:r>
      <w:r>
        <w:lastRenderedPageBreak/>
        <w:t>способствует развитию творческих, познавательных, физических способностей детей.</w:t>
      </w:r>
    </w:p>
    <w:p w:rsidR="00155809" w:rsidRDefault="00155809" w:rsidP="00155809">
      <w:pPr>
        <w:pStyle w:val="11"/>
        <w:shd w:val="clear" w:color="auto" w:fill="auto"/>
        <w:ind w:right="20" w:firstLine="560"/>
      </w:pPr>
      <w:r>
        <w:t>Объем финансирования на учреждение дополнительного образования в 2018 году составили 8041,5 тыс. руб., их них бюджетные средства – 7723,5 тыс. руб. (96% от объема финансирования), внебюджетные источники финансирования - 318 тыс. руб. (4 % от объема финансирования). Исполнение составило 100 %.</w:t>
      </w:r>
    </w:p>
    <w:p w:rsidR="00155809" w:rsidRDefault="00155809" w:rsidP="00155809">
      <w:pPr>
        <w:pStyle w:val="11"/>
        <w:shd w:val="clear" w:color="auto" w:fill="auto"/>
        <w:ind w:left="20" w:right="80" w:firstLine="560"/>
      </w:pPr>
      <w:r>
        <w:t>В целях реализации Указа Президента Российской Федерации от 7 мая 2012 года № 597 «О мероприятиях по реализации государственной социальной политики»» в 2017 году произведено повышение заработной платы педагогическим работникам.</w:t>
      </w:r>
    </w:p>
    <w:p w:rsidR="00155809" w:rsidRDefault="00155809" w:rsidP="00155809">
      <w:pPr>
        <w:pStyle w:val="11"/>
        <w:shd w:val="clear" w:color="auto" w:fill="auto"/>
        <w:ind w:left="20" w:firstLine="560"/>
      </w:pPr>
      <w:r>
        <w:t>Повышение оплаты труда направлено на усиление мотивации педагогических работников, обеспечивающей развитие внеурочной деятельности в классах, включая классы, реализующие федеральной государственный образовательный стандарт начального общего образования, организацию внеклассной работы по предметам, подготовку к олимпиадам.</w:t>
      </w:r>
    </w:p>
    <w:p w:rsidR="00155809" w:rsidRDefault="00155809" w:rsidP="00155809">
      <w:pPr>
        <w:pStyle w:val="11"/>
        <w:shd w:val="clear" w:color="auto" w:fill="auto"/>
        <w:ind w:left="20" w:right="80" w:firstLine="560"/>
      </w:pPr>
      <w:r>
        <w:t>Фонд стимулирующих выплат образовательных учреждений направлен на результативно работающих педагогов. У каждого педагогического работника появилась возможность выйти на новый уровень, показать себя. Основание для начисления стимулирующей части оплаты труда заставило педагогов активнее внедрять современные образовательные технологии, изменить своё отношение к педагогическому труду.</w:t>
      </w:r>
    </w:p>
    <w:p w:rsidR="00155809" w:rsidRDefault="00155809" w:rsidP="00155809">
      <w:pPr>
        <w:pStyle w:val="11"/>
        <w:shd w:val="clear" w:color="auto" w:fill="auto"/>
        <w:ind w:left="20" w:right="80" w:firstLine="560"/>
      </w:pPr>
      <w:r>
        <w:t>Отношение среднемесячной заработной платы педагогических работников дошкольных образовательных организаций (26792 руб.) к среднемесячной заработной плате в сфере общего образования в субъекте Российской</w:t>
      </w:r>
    </w:p>
    <w:p w:rsidR="00155809" w:rsidRDefault="00155809" w:rsidP="00155809">
      <w:pPr>
        <w:pStyle w:val="11"/>
        <w:shd w:val="clear" w:color="auto" w:fill="auto"/>
        <w:ind w:left="20" w:right="80" w:firstLine="0"/>
      </w:pPr>
      <w:r>
        <w:t>Федерации (по государственным и муниципальным образовательным организациям) составляет 101 %.</w:t>
      </w:r>
    </w:p>
    <w:p w:rsidR="00155809" w:rsidRDefault="00155809" w:rsidP="00155809">
      <w:pPr>
        <w:pStyle w:val="11"/>
        <w:shd w:val="clear" w:color="auto" w:fill="auto"/>
        <w:ind w:left="20" w:right="80" w:firstLine="560"/>
      </w:pPr>
      <w:r>
        <w:t>Отношение среднемесячной заработной платы педагогических работников образовательных организаций общего образования (30094 руб.) к среднемесячной заработной плате составляет 102%.</w:t>
      </w:r>
    </w:p>
    <w:p w:rsidR="00155809" w:rsidRDefault="00155809" w:rsidP="00155809">
      <w:pPr>
        <w:pStyle w:val="11"/>
        <w:shd w:val="clear" w:color="auto" w:fill="auto"/>
        <w:ind w:left="20" w:right="80" w:firstLine="560"/>
      </w:pPr>
      <w:r>
        <w:t>Отношение среднемесячной заработной платы педагогических работников муниципальных организаций дополнительного образования детей (29467 руб.)    к среднемесячной заработной плате учителей в 101%</w:t>
      </w:r>
    </w:p>
    <w:p w:rsidR="00155809" w:rsidRDefault="00155809" w:rsidP="00155809">
      <w:pPr>
        <w:pStyle w:val="11"/>
        <w:shd w:val="clear" w:color="auto" w:fill="auto"/>
        <w:ind w:left="20" w:right="80" w:firstLine="700"/>
      </w:pPr>
      <w:r>
        <w:t xml:space="preserve">Достижение стратегических целей и решение тактических задач управлением образования осуществляется путем реализации мероприятий муниципальной программы «Развитие общего образования и воспитания в </w:t>
      </w:r>
      <w:proofErr w:type="spellStart"/>
      <w:r>
        <w:t>Дзун-Хемчикском</w:t>
      </w:r>
      <w:proofErr w:type="spellEnd"/>
      <w:r>
        <w:t xml:space="preserve"> </w:t>
      </w:r>
      <w:proofErr w:type="spellStart"/>
      <w:r>
        <w:t>кожууне</w:t>
      </w:r>
      <w:proofErr w:type="spellEnd"/>
      <w:r>
        <w:t xml:space="preserve">  на 2016-2018г.г.»</w:t>
      </w:r>
    </w:p>
    <w:p w:rsidR="00155809" w:rsidRDefault="00155809" w:rsidP="00155809">
      <w:pPr>
        <w:pStyle w:val="11"/>
        <w:shd w:val="clear" w:color="auto" w:fill="auto"/>
        <w:ind w:left="20" w:right="80" w:firstLine="560"/>
      </w:pPr>
      <w:r>
        <w:t>Все образовательные учреждения обеспечены финансированием в рамках муниципального задания в полном объеме. Имеющиеся ресурсы были предусмотрены для реализации наиболее значимых мероприятий,  принимались меры, направленные на повышение эффективности расходования средств.</w:t>
      </w:r>
    </w:p>
    <w:p w:rsidR="00155809" w:rsidRDefault="00155809" w:rsidP="00155809">
      <w:pPr>
        <w:pStyle w:val="11"/>
        <w:shd w:val="clear" w:color="auto" w:fill="auto"/>
        <w:ind w:left="20" w:right="80" w:firstLine="700"/>
      </w:pPr>
      <w:r>
        <w:t xml:space="preserve">Рассматривая вопросы организации государственной аттестации выпускников, следует отметить, что для проведения единого государственного экзамена (далее - ЕГЭ) в 2018 году был создан один пункт проведения </w:t>
      </w:r>
      <w:r>
        <w:lastRenderedPageBreak/>
        <w:t>экзаменов. Приказом министерства образования и науки Республики Тыва утвержден 1 пункт проведения экзаменов (далее - ППЭ) – это МБОУ СОШ № 1 г. Чадан. Аудиторный фонд в школе №1 составил 28 аудиторий.</w:t>
      </w:r>
    </w:p>
    <w:p w:rsidR="00155809" w:rsidRDefault="00155809" w:rsidP="00155809">
      <w:pPr>
        <w:pStyle w:val="11"/>
        <w:shd w:val="clear" w:color="auto" w:fill="auto"/>
        <w:ind w:left="20" w:right="80" w:firstLine="700"/>
      </w:pPr>
      <w:r>
        <w:t>В 2018  году в государственной итоговой аттестации в форме и по материалам ЕГЭ приняли участие 111 выпускников 11(12) классов общеобразовательных учреждений Дзун-Хемчикского кожууна. В организации и проведении единого государственного экзамена было задействовано около 41 педагогических работников.</w:t>
      </w:r>
    </w:p>
    <w:p w:rsidR="00155809" w:rsidRDefault="00155809" w:rsidP="00155809">
      <w:pPr>
        <w:pStyle w:val="11"/>
        <w:shd w:val="clear" w:color="auto" w:fill="auto"/>
        <w:ind w:left="20" w:right="80" w:firstLine="700"/>
      </w:pPr>
      <w:r>
        <w:t>В пунктах проведения экзаменов были соблюдены санитарн</w:t>
      </w:r>
      <w:proofErr w:type="gramStart"/>
      <w:r>
        <w:t>о-</w:t>
      </w:r>
      <w:proofErr w:type="gramEnd"/>
      <w:r>
        <w:t xml:space="preserve"> гигиенические требования, требования противопожарной и антитеррористической безопасности, предъявляемые к помещениям, предназначенным для использования большим количеством обучающихся.</w:t>
      </w:r>
    </w:p>
    <w:p w:rsidR="00155809" w:rsidRDefault="00155809" w:rsidP="00155809">
      <w:pPr>
        <w:pStyle w:val="11"/>
        <w:shd w:val="clear" w:color="auto" w:fill="auto"/>
        <w:ind w:left="20" w:right="80" w:firstLine="700"/>
      </w:pPr>
      <w:r>
        <w:t>Состояние помещений, предоставленных для проведения экзаменов, обеспечили проведение экзаменов в условиях, соответствующих требованиям санитарно-эпидемиологических правил и нормативов. Все неиспользуемые аудитории были опечатаны и исключали возможность допуска к ним.</w:t>
      </w:r>
    </w:p>
    <w:p w:rsidR="00155809" w:rsidRDefault="00155809" w:rsidP="00155809">
      <w:pPr>
        <w:pStyle w:val="11"/>
        <w:shd w:val="clear" w:color="auto" w:fill="auto"/>
        <w:ind w:left="20" w:right="20" w:firstLine="700"/>
      </w:pPr>
      <w:r>
        <w:t>В пунктах проведения единого государственного экзамена были предусмотрены экзаменационные аудитории, помещение для работы штаба, помещение для инструктажа организаторов, временного хранения личных вещей организаторов, медицинского работника. За условными пределами ППЭ были предусмотрены место для пункта охраны правопорядка, уполномоченных представителей общеобразовательных учреждений, временного хранения сре</w:t>
      </w:r>
      <w:proofErr w:type="gramStart"/>
      <w:r>
        <w:t>дств св</w:t>
      </w:r>
      <w:proofErr w:type="gramEnd"/>
      <w:r>
        <w:t>язи.</w:t>
      </w:r>
    </w:p>
    <w:p w:rsidR="00155809" w:rsidRDefault="00155809" w:rsidP="00155809">
      <w:pPr>
        <w:pStyle w:val="11"/>
        <w:shd w:val="clear" w:color="auto" w:fill="auto"/>
        <w:ind w:left="20" w:right="20" w:firstLine="700"/>
      </w:pPr>
      <w:r>
        <w:t>В целях создания комфортных условий для сдачи выпускниками и поступающими ЕГЭ, пункт проведения экзаменов оборудован действующими внутренними туалетами.</w:t>
      </w:r>
    </w:p>
    <w:p w:rsidR="00155809" w:rsidRDefault="00155809" w:rsidP="00155809">
      <w:pPr>
        <w:pStyle w:val="11"/>
        <w:shd w:val="clear" w:color="auto" w:fill="auto"/>
        <w:ind w:left="20" w:right="20" w:firstLine="700"/>
      </w:pPr>
      <w:r>
        <w:t>Пункт проведения экзаменов был оснащен соответствующей мебелью, оборудованием и оргтехникой,  необходимыми для проведения ЕГЭ.</w:t>
      </w:r>
    </w:p>
    <w:p w:rsidR="00155809" w:rsidRDefault="00155809" w:rsidP="00155809">
      <w:pPr>
        <w:pStyle w:val="11"/>
        <w:shd w:val="clear" w:color="auto" w:fill="auto"/>
        <w:ind w:left="20" w:right="20" w:firstLine="700"/>
      </w:pPr>
      <w:r>
        <w:t xml:space="preserve">В целях обеспечения общественного порядка в пунктах проведения экзаменов и на прилегающей к нему территории между министерством образования и науки Республики Тыва и министерством внутренних дел России по Республике Тыва заключено соглашение на предмет взаимодействия на </w:t>
      </w:r>
      <w:proofErr w:type="spellStart"/>
      <w:r>
        <w:t>кожуунном</w:t>
      </w:r>
      <w:proofErr w:type="spellEnd"/>
      <w:r>
        <w:t xml:space="preserve"> уровне. Работа сотрудников органов внутренних дел обеспечила соблюдение правопорядка и безопасности пунктов проведения экзаменов в период проведения ЕГЭ.</w:t>
      </w:r>
    </w:p>
    <w:p w:rsidR="00155809" w:rsidRDefault="00155809" w:rsidP="00155809">
      <w:pPr>
        <w:pStyle w:val="11"/>
        <w:shd w:val="clear" w:color="auto" w:fill="auto"/>
        <w:ind w:left="20" w:right="20" w:firstLine="700"/>
      </w:pPr>
      <w:r>
        <w:t xml:space="preserve">В целях обеспечения медицинского обслуживания выпускников министерством образования и науки Республики Тыва и министерством здравоохранения Республики Тыва разработана совместная инструкция для медицинских работников, участвующих в проведении ЕГЭ. Заключен договор с главным врачом ГБУЗ ЦКБ Дзун-Хемчикского кожууна. Медицинский работник прибывал в пункт проведения экзамена к 8.00 </w:t>
      </w:r>
      <w:proofErr w:type="spellStart"/>
      <w:r>
        <w:t>час</w:t>
      </w:r>
      <w:proofErr w:type="gramStart"/>
      <w:r>
        <w:t>.и</w:t>
      </w:r>
      <w:proofErr w:type="spellEnd"/>
      <w:proofErr w:type="gramEnd"/>
      <w:r>
        <w:t xml:space="preserve"> находился там до окончания экзамена и выхода всех участников ЕГЭ из ППЭ. Для медицинского работника в пункте проведения экзамена было подготовлено отдельное помещение. Он был обеспечен набором первой необходимой медицинской помощи.</w:t>
      </w:r>
    </w:p>
    <w:p w:rsidR="00155809" w:rsidRDefault="00155809" w:rsidP="00155809">
      <w:pPr>
        <w:pStyle w:val="11"/>
        <w:shd w:val="clear" w:color="auto" w:fill="auto"/>
        <w:ind w:left="20" w:right="20" w:firstLine="700"/>
      </w:pPr>
      <w:r>
        <w:lastRenderedPageBreak/>
        <w:t xml:space="preserve">В 2018 году пункт проведения ЕГЭ оборудован системой </w:t>
      </w:r>
      <w:proofErr w:type="spellStart"/>
      <w:r>
        <w:t>онлайн</w:t>
      </w:r>
      <w:proofErr w:type="spellEnd"/>
      <w:r>
        <w:t xml:space="preserve"> видеонаблюдени</w:t>
      </w:r>
      <w:proofErr w:type="gramStart"/>
      <w:r>
        <w:t>я(</w:t>
      </w:r>
      <w:proofErr w:type="gramEnd"/>
      <w:r>
        <w:t xml:space="preserve">обновлены камеры видеонаблюдения – поставлены </w:t>
      </w:r>
      <w:r>
        <w:rPr>
          <w:lang w:val="en-US"/>
        </w:rPr>
        <w:t>IP</w:t>
      </w:r>
      <w:r>
        <w:t>камеры):все 28 аудиторий задействованных в ГИА. Целью использования системы видеонаблюдения является повышение прозрачности процедуры проведения экзамена, снижение риска фальсификации результатов экзаменов, снижение возможностей нарушения процедуры проведения ЕГЭ и выявление фактов нарушений. Система на протяжении всего экзаменационного периода работала без сбоев в штатном режиме. Кроме того, оба пункта проведения экзаменов были оборудованы стационарными источниками бесперебойного питани</w:t>
      </w:r>
      <w:proofErr w:type="gramStart"/>
      <w:r>
        <w:t>я(</w:t>
      </w:r>
      <w:proofErr w:type="gramEnd"/>
      <w:r>
        <w:t>дизельным генератором).</w:t>
      </w:r>
    </w:p>
    <w:p w:rsidR="00155809" w:rsidRDefault="00155809" w:rsidP="00155809">
      <w:pPr>
        <w:pStyle w:val="11"/>
        <w:shd w:val="clear" w:color="auto" w:fill="auto"/>
        <w:ind w:left="20" w:right="20" w:firstLine="700"/>
      </w:pPr>
      <w:r>
        <w:t>Штатный режим проведения ЕГЭ был обеспечен бесперебойной работой всех коммунальных служб и иных подразделений. Для выпускников были созданы комфортные условия при сдаче ими государственных экзаменов.</w:t>
      </w:r>
    </w:p>
    <w:p w:rsidR="00155809" w:rsidRDefault="00155809" w:rsidP="00155809">
      <w:pPr>
        <w:pStyle w:val="11"/>
        <w:shd w:val="clear" w:color="auto" w:fill="auto"/>
        <w:ind w:left="20" w:firstLine="700"/>
      </w:pPr>
      <w:r>
        <w:t>Выпускников школ, сдающих ЕГЭ в 2018 году досрочно, не было.</w:t>
      </w:r>
    </w:p>
    <w:p w:rsidR="00155809" w:rsidRDefault="00155809" w:rsidP="00155809">
      <w:pPr>
        <w:pStyle w:val="11"/>
        <w:shd w:val="clear" w:color="auto" w:fill="auto"/>
        <w:ind w:left="20" w:right="20" w:firstLine="700"/>
      </w:pPr>
      <w:r>
        <w:t xml:space="preserve">В дни проведения экзаменов в пункте проведения экзамена находились только аккредитованные представители системы образования. </w:t>
      </w:r>
    </w:p>
    <w:p w:rsidR="00155809" w:rsidRDefault="00155809" w:rsidP="00155809">
      <w:pPr>
        <w:pStyle w:val="11"/>
        <w:shd w:val="clear" w:color="auto" w:fill="auto"/>
        <w:ind w:left="20" w:right="20" w:firstLine="700"/>
      </w:pPr>
      <w:r>
        <w:t xml:space="preserve">В целях соблюдения информационной безопасности при проведении ЕГЭ в пунктах проведения экзамена проводился двойной контроль удостоверения личности участников ЕГЭ: на входе в здание пункта и при входе в аудиторию. Дополнительно на входе в пункт проведения экзамена дежурили представители полиции. Пропускной режим сопровождался использованием </w:t>
      </w:r>
      <w:proofErr w:type="spellStart"/>
      <w:r>
        <w:t>металлодетекторов</w:t>
      </w:r>
      <w:proofErr w:type="spellEnd"/>
      <w:r>
        <w:t>.</w:t>
      </w:r>
    </w:p>
    <w:p w:rsidR="00155809" w:rsidRDefault="00155809" w:rsidP="00155809">
      <w:pPr>
        <w:pStyle w:val="11"/>
        <w:shd w:val="clear" w:color="auto" w:fill="auto"/>
        <w:ind w:left="20" w:right="20" w:firstLine="700"/>
      </w:pPr>
      <w:r>
        <w:t>Все экзамены ЕГЭ прошли без нарушений. Удаленных выпускников с экзаменов по причине нарушений процедуры проведения, использования посторонних материалов было 2. Выявленных фактов фальсификации результатов экзамена не было. Выявленных нарушений режима защиты контрольных измерительных материалов не было.</w:t>
      </w:r>
    </w:p>
    <w:p w:rsidR="00155809" w:rsidRDefault="00155809" w:rsidP="00155809">
      <w:pPr>
        <w:pStyle w:val="11"/>
        <w:shd w:val="clear" w:color="auto" w:fill="auto"/>
        <w:ind w:left="20" w:right="20" w:firstLine="700"/>
      </w:pPr>
      <w:r>
        <w:t>На каждом экзамене присутствовали уполномоченные представители государственной экзаменационной комиссии. По итогам проведения экзаменов были составлены акты проверки. Замечаний и нарушений не выявлено.</w:t>
      </w:r>
    </w:p>
    <w:p w:rsidR="00155809" w:rsidRDefault="00155809" w:rsidP="00155809">
      <w:pPr>
        <w:pStyle w:val="11"/>
        <w:shd w:val="clear" w:color="auto" w:fill="auto"/>
        <w:ind w:left="20" w:right="20" w:firstLine="700"/>
      </w:pPr>
      <w:r>
        <w:t xml:space="preserve">По итогам основного и дополнительного периода ЕГЭ 2018 года не получили аттестаты о среднем общем образовании 4(11 классы) выпускников ОО кожууна. </w:t>
      </w:r>
    </w:p>
    <w:p w:rsidR="00155809" w:rsidRDefault="00155809" w:rsidP="00155809">
      <w:pPr>
        <w:pStyle w:val="11"/>
        <w:shd w:val="clear" w:color="auto" w:fill="auto"/>
        <w:ind w:left="20" w:right="20" w:firstLine="700"/>
      </w:pPr>
      <w:r>
        <w:t xml:space="preserve">Для проведения основного государственного экзамена (далее - ОГЭ) в муниципальном образовании созданы 1 ППЭ на базе МБОУ СОШ № 1 г. Чадан. В ППЭ были соблюдены санитарно-эпидемиологические правила и гигиенические требования, а также требования противопожарной и антитеррористической безопасности, ППЭ </w:t>
      </w:r>
      <w:proofErr w:type="gramStart"/>
      <w:r>
        <w:t>обеспечен</w:t>
      </w:r>
      <w:proofErr w:type="gramEnd"/>
      <w:r>
        <w:t xml:space="preserve"> необходимым оборудованием в соответствии с предъявляемыми к ним требованиями. Во всех аудиториях и в штабе ППЭ было установлено видеонаблюдение.</w:t>
      </w:r>
    </w:p>
    <w:p w:rsidR="00155809" w:rsidRDefault="00155809" w:rsidP="00155809">
      <w:pPr>
        <w:pStyle w:val="11"/>
        <w:shd w:val="clear" w:color="auto" w:fill="auto"/>
        <w:spacing w:after="341"/>
        <w:ind w:left="20" w:right="20" w:firstLine="700"/>
      </w:pPr>
      <w:r>
        <w:t xml:space="preserve">Для обеспечения работы ППЭ во время проведения экзаменов в форме ОГЭ приказом министерства образования и науки Республики Тыва утвержден 1 руководитель ППЭ, 2 уполномоченных представителей ГЭК, 4 технических специалистов, 78 организаторов проведения ОГЭ в ППЭ. Руководители, уполномоченные представители ГЭК прошли обучение на учебной платформе </w:t>
      </w:r>
      <w:r>
        <w:lastRenderedPageBreak/>
        <w:t>ФЦТ. Также технические специалисты и организаторы прошли обучение на территории кожууна.</w:t>
      </w:r>
    </w:p>
    <w:p w:rsidR="00155809" w:rsidRDefault="00155809" w:rsidP="00155809">
      <w:pPr>
        <w:pStyle w:val="11"/>
        <w:shd w:val="clear" w:color="auto" w:fill="auto"/>
        <w:spacing w:after="341"/>
        <w:ind w:left="20" w:right="20" w:firstLine="700"/>
      </w:pPr>
      <w:r>
        <w:t xml:space="preserve">Всего участников ОГЭ 2018 году было 359 обучающихся школ кожууна, из них в форме ГВЭ сдавали 62. По итогам основного и дополнительного периода ОГЭ 21 выпускников не получили аттестаты об основном общем образовании. </w:t>
      </w:r>
    </w:p>
    <w:p w:rsidR="00155809" w:rsidRDefault="00155809" w:rsidP="00155809">
      <w:pPr>
        <w:pStyle w:val="22"/>
        <w:keepNext/>
        <w:keepLines/>
        <w:shd w:val="clear" w:color="auto" w:fill="auto"/>
        <w:spacing w:before="0" w:line="270" w:lineRule="exact"/>
        <w:ind w:left="1920"/>
      </w:pPr>
      <w:bookmarkStart w:id="5" w:name="bookmark6"/>
      <w:r>
        <w:t>1.2. Анализ состояния и перспектив развития</w:t>
      </w:r>
      <w:bookmarkEnd w:id="5"/>
    </w:p>
    <w:p w:rsidR="00155809" w:rsidRDefault="00155809" w:rsidP="00155809">
      <w:pPr>
        <w:pStyle w:val="11"/>
        <w:shd w:val="clear" w:color="auto" w:fill="auto"/>
        <w:ind w:left="20" w:right="20" w:firstLine="700"/>
      </w:pPr>
      <w:r>
        <w:t xml:space="preserve">Управлением образования серьезное внимание уделялось приоритетным направлениям образовательной политики: духовно - нравственному, патриотическому, трудовому, </w:t>
      </w:r>
      <w:proofErr w:type="spellStart"/>
      <w:r>
        <w:t>эколого</w:t>
      </w:r>
      <w:proofErr w:type="spellEnd"/>
      <w:r>
        <w:t xml:space="preserve"> - биологическому воспитанию детей, формированию их здорового образа жизни, развитию массового детского спорта и туризма, профилактике безнадзорности и правонарушений, обеспечению безопасности, защите жизни и здоровья учащихся и воспитанников, а также предоставлению инклюзивного, дистанционного образования.</w:t>
      </w:r>
    </w:p>
    <w:p w:rsidR="00155809" w:rsidRDefault="00155809" w:rsidP="00155809">
      <w:pPr>
        <w:pStyle w:val="11"/>
        <w:shd w:val="clear" w:color="auto" w:fill="auto"/>
        <w:ind w:left="20" w:right="20" w:firstLine="700"/>
        <w:rPr>
          <w:highlight w:val="yellow"/>
        </w:rPr>
      </w:pPr>
      <w:r>
        <w:t>Комплексное развитие муниципальной отрасли образования осуществлялось на основе программно - целевого подхода: в 2018 году управление образования администрации муниципального образования Дзун-Хемчикского кожууна участвовало в реализации 5 муниципальных целевых программ: «Развитие образования и воспитания»,  «Дети кожууна», «Комплексные меры по профилактике употребления ПАВ», «Развитие дополнительного образования детей», «Здоровым быть здорово».</w:t>
      </w:r>
    </w:p>
    <w:p w:rsidR="00155809" w:rsidRDefault="00155809" w:rsidP="00155809">
      <w:pPr>
        <w:pStyle w:val="11"/>
        <w:shd w:val="clear" w:color="auto" w:fill="auto"/>
        <w:ind w:left="20" w:right="20" w:firstLine="700"/>
      </w:pPr>
      <w:r>
        <w:t xml:space="preserve">В  </w:t>
      </w:r>
      <w:proofErr w:type="spellStart"/>
      <w:r>
        <w:t>кожууне</w:t>
      </w:r>
      <w:proofErr w:type="spellEnd"/>
      <w:r>
        <w:t xml:space="preserve"> обеспечивается доступность качественного общего образования. Охват детей начальным общим, основным общим и средним общим образованием осуществляется в полном объеме.</w:t>
      </w:r>
    </w:p>
    <w:p w:rsidR="00155809" w:rsidRDefault="00155809" w:rsidP="00155809">
      <w:pPr>
        <w:pStyle w:val="11"/>
        <w:shd w:val="clear" w:color="auto" w:fill="auto"/>
        <w:ind w:left="20" w:right="20" w:firstLine="700"/>
      </w:pPr>
      <w:r>
        <w:t>Стратегические цели, тактические задачи деятельности управления образования определяются Законом Российской Федерации «Об образовании в Российской Федерации», государственной программой «Развитие образования» и другими региональными законами, регулирующими правоотношения в сфере воспитания и образования, стратегией социально - экономического развития муниципального образования Апшеронский район до 2020 года.</w:t>
      </w:r>
    </w:p>
    <w:p w:rsidR="00155809" w:rsidRDefault="00155809" w:rsidP="00155809">
      <w:pPr>
        <w:pStyle w:val="11"/>
        <w:shd w:val="clear" w:color="auto" w:fill="auto"/>
        <w:ind w:left="20" w:right="20" w:firstLine="540"/>
      </w:pPr>
      <w:r>
        <w:t>Обеспечение гарантий и прав граждан на получение общего образования - основная задача, стоящая перед системой образования Дзун-Хемчикского кожууна. Управлением образования разработан и действует механизм выявления детей, подлежащих обучению.</w:t>
      </w:r>
    </w:p>
    <w:p w:rsidR="00155809" w:rsidRDefault="00155809" w:rsidP="00155809">
      <w:pPr>
        <w:pStyle w:val="11"/>
        <w:shd w:val="clear" w:color="auto" w:fill="auto"/>
        <w:ind w:left="20" w:right="20" w:firstLine="540"/>
      </w:pPr>
      <w:proofErr w:type="gramStart"/>
      <w:r>
        <w:t xml:space="preserve">Согласно приказу Управления образования администрации муниципального района </w:t>
      </w:r>
      <w:proofErr w:type="spellStart"/>
      <w:r>
        <w:t>Дзун-Хемчикский</w:t>
      </w:r>
      <w:proofErr w:type="spellEnd"/>
      <w:r>
        <w:t xml:space="preserve"> </w:t>
      </w:r>
      <w:proofErr w:type="spellStart"/>
      <w:r>
        <w:t>кожуун</w:t>
      </w:r>
      <w:proofErr w:type="spellEnd"/>
      <w:r>
        <w:t xml:space="preserve"> РТ № 139/7 от 04 июня 2018 года  «О закреплении муниципальных бюджетных и автономных образовательных учреждений, осуществляющих обучение по образовательным программам дошкольного, начального общего, основного общего и среднего общего образования за конкретными территориями Дзун-Хемчикского кожууна Республики Тыва», за каждым общеобразовательным учреждением закреплен микрорайон, несовершеннолетние которого подлежат приему в первые классы.</w:t>
      </w:r>
      <w:proofErr w:type="gramEnd"/>
    </w:p>
    <w:p w:rsidR="00155809" w:rsidRDefault="00155809" w:rsidP="00155809">
      <w:pPr>
        <w:pStyle w:val="11"/>
        <w:shd w:val="clear" w:color="auto" w:fill="auto"/>
        <w:ind w:left="20" w:right="20" w:firstLine="700"/>
      </w:pPr>
      <w:r>
        <w:lastRenderedPageBreak/>
        <w:t>В 2018 году прием учащихся в общеобразовательные учреждения регламентировался порядком приема граждан в общеобразовательные учреждения, утвержденным приказом министерства образования и науки Российской Федерации от 22 января 2014 года № 32.</w:t>
      </w:r>
    </w:p>
    <w:p w:rsidR="00155809" w:rsidRDefault="00155809" w:rsidP="00155809">
      <w:pPr>
        <w:pStyle w:val="11"/>
        <w:shd w:val="clear" w:color="auto" w:fill="auto"/>
        <w:ind w:left="20" w:right="20" w:firstLine="700"/>
      </w:pPr>
      <w:r>
        <w:t xml:space="preserve">Ведется ежедневный мониторинг детей, не посещающих школу. Еженедельно школы представляют в управление образования данные мониторинги посещаемости занятий учащимися и ежемесячно информацию о работе с детьми, не посещающими школу. </w:t>
      </w:r>
    </w:p>
    <w:p w:rsidR="00155809" w:rsidRDefault="00155809" w:rsidP="00155809">
      <w:pPr>
        <w:pStyle w:val="11"/>
        <w:shd w:val="clear" w:color="auto" w:fill="auto"/>
        <w:ind w:left="20" w:right="20" w:firstLine="700"/>
        <w:rPr>
          <w:highlight w:val="yellow"/>
        </w:rPr>
      </w:pPr>
      <w:r>
        <w:t>С целью активизации работы по выполнению требований к обязательному общему образованию управлением образования разработан комплекс мер по обеспечению получения несовершеннолетними общего образования, который предусматривает направления деятельности, способствующие возвращению детей в школу и решению ряда социальных проблем.</w:t>
      </w:r>
    </w:p>
    <w:p w:rsidR="00155809" w:rsidRDefault="00155809" w:rsidP="00155809">
      <w:pPr>
        <w:pStyle w:val="11"/>
        <w:shd w:val="clear" w:color="auto" w:fill="auto"/>
        <w:ind w:left="20" w:right="20" w:firstLine="560"/>
      </w:pPr>
      <w:r>
        <w:t>Количество учащихся в 2018 году увеличилось на 126 человека. В 2018 году продолжили получение общего образования 205 выпускников 9 классов из 359 учащегося. Причем в учреждения среднего профессионального образования поступили 126 человек, 21 человек не получили аттестаты об основном общем образовании и остались на 2 год, 2 учащихся уехали по призыву в армию, 5 обучающихся выбыли в другие школы Республики, 205 выпускников продолжили обучение в 10 классах общеобразовательных учреждений.</w:t>
      </w:r>
    </w:p>
    <w:p w:rsidR="00155809" w:rsidRDefault="00155809" w:rsidP="00155809">
      <w:pPr>
        <w:pStyle w:val="11"/>
        <w:shd w:val="clear" w:color="auto" w:fill="auto"/>
        <w:ind w:left="20" w:right="20" w:firstLine="720"/>
      </w:pPr>
      <w:r>
        <w:t xml:space="preserve">В школах разработаны основные образовательные программы начального общего и основного общего образования и разработаны программы дополнительного образования согласно требованиям ФГОС ООО и запросам обучающихся. Проведено комплектование библиотеки </w:t>
      </w:r>
      <w:r>
        <w:rPr>
          <w:rStyle w:val="-1pt"/>
        </w:rPr>
        <w:t>УМК</w:t>
      </w:r>
      <w:r>
        <w:t xml:space="preserve"> по всем предметам учебного плана в соответствии с Федеральным перечнем.</w:t>
      </w:r>
    </w:p>
    <w:p w:rsidR="00155809" w:rsidRDefault="00155809" w:rsidP="00155809">
      <w:pPr>
        <w:pStyle w:val="11"/>
        <w:shd w:val="clear" w:color="auto" w:fill="auto"/>
        <w:ind w:left="20" w:right="20" w:firstLine="720"/>
      </w:pPr>
      <w:r>
        <w:t>Проводится регулярное повышение квалификации педагогов и руководителей общеобразовательных учреждений по введению новых образовательных стандартов. Проведены районные семинары по обмену опытом среди учителей-предметников на этапе введения ФГОС ООО в 8 классах. Подготовлены рекомендации по разработке рабочих программ учебных предметов обязательной части учебного плана общеобразовательных учреждений, реализующих ФГОС начального общего и основного общего образования.</w:t>
      </w:r>
    </w:p>
    <w:p w:rsidR="00155809" w:rsidRDefault="00155809" w:rsidP="00155809">
      <w:pPr>
        <w:pStyle w:val="11"/>
        <w:shd w:val="clear" w:color="auto" w:fill="auto"/>
        <w:ind w:left="20" w:right="20" w:firstLine="720"/>
      </w:pPr>
      <w:r>
        <w:t>В целом образование в районе отличается стабильностью и взаимосвязанностью всех его ступеней. Необходимо и далее совершенствовать подходы, которые будут способствовать повышению качественных показателей системы образования кожууна.</w:t>
      </w:r>
    </w:p>
    <w:p w:rsidR="00155809" w:rsidRDefault="00155809" w:rsidP="00155809">
      <w:pPr>
        <w:pStyle w:val="11"/>
        <w:shd w:val="clear" w:color="auto" w:fill="auto"/>
        <w:ind w:left="20" w:right="20" w:firstLine="720"/>
      </w:pPr>
      <w:r>
        <w:t xml:space="preserve">Средний балл по </w:t>
      </w:r>
      <w:proofErr w:type="spellStart"/>
      <w:r>
        <w:t>кожууну</w:t>
      </w:r>
      <w:proofErr w:type="spellEnd"/>
      <w:r>
        <w:t xml:space="preserve"> ниже прошлогодних показателей по химии на 5%, по географии – 16%, по физике – 4%, по информатике – 4 балла. </w:t>
      </w:r>
    </w:p>
    <w:p w:rsidR="00155809" w:rsidRDefault="00155809" w:rsidP="00155809">
      <w:pPr>
        <w:pStyle w:val="11"/>
        <w:shd w:val="clear" w:color="auto" w:fill="auto"/>
        <w:ind w:left="20" w:right="20" w:firstLine="720"/>
      </w:pPr>
      <w:r>
        <w:t xml:space="preserve">Средний балл по району выше прошлогодних показателей по следующим предметам: русскому языку -  4 балла, по литературе - 1,9 баллов, обществознанию - 2,8 балла, английскому языку - 4,7 балла,  по биологии - 1,8 балла, в остальных предметах наблюдается стабильность. </w:t>
      </w:r>
    </w:p>
    <w:p w:rsidR="00155809" w:rsidRDefault="00155809" w:rsidP="00155809">
      <w:pPr>
        <w:pStyle w:val="11"/>
        <w:shd w:val="clear" w:color="auto" w:fill="auto"/>
        <w:ind w:left="20" w:right="20" w:firstLine="420"/>
      </w:pPr>
      <w:r>
        <w:lastRenderedPageBreak/>
        <w:t>По итогам анализа ОГЭ и ЕГЭ 2018г. управлением образования был составлен план мероприяти</w:t>
      </w:r>
      <w:proofErr w:type="gramStart"/>
      <w:r>
        <w:t>й(</w:t>
      </w:r>
      <w:proofErr w:type="gramEnd"/>
      <w:r>
        <w:t xml:space="preserve">дорожная карта) по подготовке выпускников к ГИА в 2018-2019 учебном году. Организовано взаимодействие учителей школ, показывающих низкие результаты с методистами, </w:t>
      </w:r>
      <w:proofErr w:type="spellStart"/>
      <w:r>
        <w:t>тьюторами</w:t>
      </w:r>
      <w:proofErr w:type="spellEnd"/>
      <w:r>
        <w:t>, учителями школ, показывающих высокие результаты экзаменов. На заседаниях методического объединения учителей математики проводились практикумы по решению сложных заданий.</w:t>
      </w:r>
    </w:p>
    <w:p w:rsidR="00155809" w:rsidRDefault="00155809" w:rsidP="00155809">
      <w:pPr>
        <w:pStyle w:val="11"/>
        <w:shd w:val="clear" w:color="auto" w:fill="auto"/>
        <w:ind w:left="20" w:right="20" w:firstLine="700"/>
      </w:pPr>
      <w:r>
        <w:t>С целью эффективной организации работы по подготовке выпускников к государственной итоговой аттестации общеобразовательных учреждений в течение года проводились семинары-совещания для руководителей общеобразовательных учреждений и семинары-совещания для заместителей директоров по учебно-воспитательной работе</w:t>
      </w:r>
    </w:p>
    <w:p w:rsidR="00155809" w:rsidRDefault="00155809" w:rsidP="00155809">
      <w:pPr>
        <w:pStyle w:val="11"/>
        <w:shd w:val="clear" w:color="auto" w:fill="auto"/>
        <w:ind w:left="20" w:right="20" w:firstLine="700"/>
      </w:pPr>
      <w:r>
        <w:t>Одной из приоритетных задач является создание условий, обеспечивающих выявление и развитие способных и одаренных детей. В рамках её реализации предусмотрено проведение различных мероприятий. Одно из таких мероприятий - всероссийская олимпиада школьников.</w:t>
      </w:r>
    </w:p>
    <w:p w:rsidR="00155809" w:rsidRDefault="00155809" w:rsidP="00155809">
      <w:pPr>
        <w:pStyle w:val="a3"/>
        <w:shd w:val="clear" w:color="auto" w:fill="auto"/>
        <w:tabs>
          <w:tab w:val="left" w:pos="1114"/>
        </w:tabs>
        <w:spacing w:before="0" w:after="0" w:line="240" w:lineRule="auto"/>
        <w:ind w:right="20" w:firstLine="0"/>
        <w:jc w:val="both"/>
      </w:pPr>
      <w:r>
        <w:tab/>
        <w:t xml:space="preserve">Муниципальный этап республиканской олимпиады по родному языку и родной  литературе проведен в октябре по приказу </w:t>
      </w:r>
      <w:proofErr w:type="spellStart"/>
      <w:r>
        <w:t>Минобрнауки</w:t>
      </w:r>
      <w:proofErr w:type="spellEnd"/>
      <w:r>
        <w:t xml:space="preserve"> РТ.</w:t>
      </w:r>
    </w:p>
    <w:p w:rsidR="00155809" w:rsidRDefault="00155809" w:rsidP="00155809">
      <w:pPr>
        <w:pStyle w:val="a3"/>
        <w:shd w:val="clear" w:color="auto" w:fill="auto"/>
        <w:tabs>
          <w:tab w:val="left" w:pos="1114"/>
        </w:tabs>
        <w:spacing w:before="0" w:after="0" w:line="240" w:lineRule="auto"/>
        <w:ind w:right="20" w:firstLine="0"/>
        <w:jc w:val="both"/>
      </w:pPr>
      <w:r>
        <w:tab/>
        <w:t xml:space="preserve">Всего участников 707человек (на 172 </w:t>
      </w:r>
      <w:proofErr w:type="spellStart"/>
      <w:r>
        <w:t>человекаменьше</w:t>
      </w:r>
      <w:proofErr w:type="spellEnd"/>
      <w:r>
        <w:t xml:space="preserve">, чем в 2017 году). Это объясняется тем, что в прошлом году в МЭ участвовали </w:t>
      </w:r>
      <w:proofErr w:type="gramStart"/>
      <w:r>
        <w:t>обучающиеся</w:t>
      </w:r>
      <w:proofErr w:type="gramEnd"/>
      <w:r>
        <w:t xml:space="preserve"> 4 классов по русскому языку и математике. </w:t>
      </w:r>
    </w:p>
    <w:p w:rsidR="00155809" w:rsidRDefault="00155809" w:rsidP="00155809">
      <w:pPr>
        <w:pStyle w:val="a3"/>
        <w:shd w:val="clear" w:color="auto" w:fill="auto"/>
        <w:tabs>
          <w:tab w:val="left" w:pos="1114"/>
        </w:tabs>
        <w:spacing w:before="0" w:after="0" w:line="240" w:lineRule="auto"/>
        <w:ind w:right="20" w:firstLine="0"/>
        <w:jc w:val="both"/>
      </w:pPr>
      <w:r>
        <w:tab/>
        <w:t xml:space="preserve">В 2018 году наибольшее количество участников по русскому языку (61), родному языку  (57), по родной литературе (53), по физической культуре (50), по биологии (49), по математике (47). </w:t>
      </w:r>
    </w:p>
    <w:p w:rsidR="00155809" w:rsidRDefault="00155809" w:rsidP="00155809">
      <w:pPr>
        <w:pStyle w:val="a3"/>
        <w:shd w:val="clear" w:color="auto" w:fill="auto"/>
        <w:tabs>
          <w:tab w:val="left" w:pos="1114"/>
        </w:tabs>
        <w:spacing w:before="0" w:after="0" w:line="240" w:lineRule="auto"/>
        <w:ind w:right="20" w:firstLine="0"/>
        <w:jc w:val="both"/>
      </w:pPr>
      <w:r>
        <w:tab/>
        <w:t>По количеству победителей и призеров 9-11 классов  составлен рейтинг по предметам. В первой четверке предметов по количеству победителей   физическая культура, технология, география и ОБЖ. По количеству призеро</w:t>
      </w:r>
      <w:proofErr w:type="gramStart"/>
      <w:r>
        <w:t>в-</w:t>
      </w:r>
      <w:proofErr w:type="gramEnd"/>
      <w:r>
        <w:t xml:space="preserve"> родной язык, физическая культура, математика, биология, обществознание, технология. </w:t>
      </w:r>
    </w:p>
    <w:p w:rsidR="00155809" w:rsidRDefault="00155809" w:rsidP="00155809">
      <w:pPr>
        <w:jc w:val="both"/>
        <w:rPr>
          <w:rFonts w:ascii="Times New Roman" w:hAnsi="Times New Roman" w:cs="Times New Roman"/>
          <w:sz w:val="28"/>
          <w:szCs w:val="28"/>
        </w:rPr>
      </w:pPr>
      <w:r>
        <w:rPr>
          <w:rFonts w:ascii="Times New Roman" w:hAnsi="Times New Roman" w:cs="Times New Roman"/>
          <w:b/>
          <w:sz w:val="32"/>
          <w:szCs w:val="32"/>
        </w:rPr>
        <w:tab/>
      </w:r>
      <w:r>
        <w:rPr>
          <w:rFonts w:ascii="Times New Roman" w:hAnsi="Times New Roman" w:cs="Times New Roman"/>
          <w:sz w:val="28"/>
          <w:szCs w:val="28"/>
        </w:rPr>
        <w:t xml:space="preserve">По результатам протоколов предметных комиссий выявлено всего46 победителей и 130 призеров. Мало победителей и призеров по английскому языку, истории, родной литературе, </w:t>
      </w:r>
      <w:proofErr w:type="spellStart"/>
      <w:r>
        <w:rPr>
          <w:rFonts w:ascii="Times New Roman" w:hAnsi="Times New Roman" w:cs="Times New Roman"/>
          <w:sz w:val="28"/>
          <w:szCs w:val="28"/>
        </w:rPr>
        <w:t>МХК</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уководителям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кожуунных</w:t>
      </w:r>
      <w:proofErr w:type="spellEnd"/>
      <w:r>
        <w:rPr>
          <w:rFonts w:ascii="Times New Roman" w:hAnsi="Times New Roman" w:cs="Times New Roman"/>
          <w:sz w:val="28"/>
          <w:szCs w:val="28"/>
        </w:rPr>
        <w:t xml:space="preserve"> и школьных методических объединений и учителям данных предметов необходимо использовать эффективные формы работы с учащимися, разработать программы  по работе с одаренными детьми,  использовать задания повышенного уровня для развития творческих способностей и проводить внеурочные мероприятия для повышения интереса учащихся к  научно-исследовательской деятельности.</w:t>
      </w:r>
    </w:p>
    <w:p w:rsidR="00155809" w:rsidRDefault="00155809" w:rsidP="00155809">
      <w:pPr>
        <w:jc w:val="both"/>
        <w:rPr>
          <w:rFonts w:ascii="Times New Roman" w:hAnsi="Times New Roman" w:cs="Times New Roman"/>
          <w:sz w:val="28"/>
          <w:szCs w:val="28"/>
        </w:rPr>
      </w:pPr>
    </w:p>
    <w:p w:rsidR="00155809" w:rsidRDefault="00155809" w:rsidP="00155809">
      <w:pPr>
        <w:jc w:val="both"/>
        <w:rPr>
          <w:rFonts w:ascii="Times New Roman" w:hAnsi="Times New Roman" w:cs="Times New Roman"/>
          <w:sz w:val="28"/>
          <w:szCs w:val="28"/>
        </w:rPr>
      </w:pPr>
    </w:p>
    <w:p w:rsidR="00155809" w:rsidRDefault="00155809" w:rsidP="00155809">
      <w:pPr>
        <w:jc w:val="both"/>
        <w:rPr>
          <w:rFonts w:ascii="Times New Roman" w:hAnsi="Times New Roman" w:cs="Times New Roman"/>
          <w:sz w:val="28"/>
          <w:szCs w:val="28"/>
        </w:rPr>
      </w:pPr>
    </w:p>
    <w:p w:rsidR="00155809" w:rsidRDefault="00155809" w:rsidP="0015580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Результаты МЭ олимпиады в разрезе ОО.</w:t>
      </w:r>
    </w:p>
    <w:tbl>
      <w:tblPr>
        <w:tblW w:w="9166" w:type="dxa"/>
        <w:tblInd w:w="93" w:type="dxa"/>
        <w:tblLook w:val="04A0"/>
      </w:tblPr>
      <w:tblGrid>
        <w:gridCol w:w="3295"/>
        <w:gridCol w:w="1191"/>
        <w:gridCol w:w="1098"/>
        <w:gridCol w:w="1200"/>
        <w:gridCol w:w="1191"/>
        <w:gridCol w:w="1191"/>
      </w:tblGrid>
      <w:tr w:rsidR="00155809" w:rsidTr="00155809">
        <w:trPr>
          <w:trHeight w:val="375"/>
        </w:trPr>
        <w:tc>
          <w:tcPr>
            <w:tcW w:w="3295" w:type="dxa"/>
            <w:vMerge w:val="restart"/>
            <w:tcBorders>
              <w:top w:val="single" w:sz="4" w:space="0" w:color="auto"/>
              <w:left w:val="single" w:sz="4" w:space="0" w:color="auto"/>
              <w:bottom w:val="single" w:sz="4" w:space="0" w:color="000000"/>
              <w:right w:val="single" w:sz="4" w:space="0" w:color="auto"/>
            </w:tcBorders>
            <w:vAlign w:val="center"/>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ОО</w:t>
            </w:r>
          </w:p>
        </w:tc>
        <w:tc>
          <w:tcPr>
            <w:tcW w:w="2289" w:type="dxa"/>
            <w:gridSpan w:val="2"/>
            <w:tcBorders>
              <w:top w:val="single" w:sz="4" w:space="0" w:color="auto"/>
              <w:left w:val="nil"/>
              <w:bottom w:val="single" w:sz="4" w:space="0" w:color="auto"/>
              <w:right w:val="nil"/>
            </w:tcBorders>
            <w:noWrap/>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2016год</w:t>
            </w:r>
          </w:p>
        </w:tc>
        <w:tc>
          <w:tcPr>
            <w:tcW w:w="1200" w:type="dxa"/>
            <w:tcBorders>
              <w:top w:val="single" w:sz="4" w:space="0" w:color="auto"/>
              <w:left w:val="single" w:sz="4" w:space="0" w:color="auto"/>
              <w:bottom w:val="single" w:sz="4" w:space="0" w:color="auto"/>
              <w:right w:val="nil"/>
            </w:tcBorders>
            <w:noWrap/>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2017год</w:t>
            </w:r>
          </w:p>
        </w:tc>
        <w:tc>
          <w:tcPr>
            <w:tcW w:w="1191" w:type="dxa"/>
            <w:tcBorders>
              <w:top w:val="single" w:sz="4" w:space="0" w:color="auto"/>
              <w:left w:val="single" w:sz="4" w:space="0" w:color="auto"/>
              <w:bottom w:val="single" w:sz="4" w:space="0" w:color="auto"/>
              <w:right w:val="single" w:sz="4" w:space="0" w:color="auto"/>
            </w:tcBorders>
            <w:noWrap/>
            <w:vAlign w:val="bottom"/>
            <w:hideMark/>
          </w:tcPr>
          <w:p w:rsidR="00155809" w:rsidRDefault="00155809">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2018 г</w:t>
            </w:r>
          </w:p>
        </w:tc>
        <w:tc>
          <w:tcPr>
            <w:tcW w:w="1191" w:type="dxa"/>
            <w:tcBorders>
              <w:top w:val="single" w:sz="4" w:space="0" w:color="auto"/>
              <w:left w:val="single" w:sz="4" w:space="0" w:color="auto"/>
              <w:bottom w:val="single" w:sz="4" w:space="0" w:color="auto"/>
              <w:right w:val="single" w:sz="4" w:space="0" w:color="auto"/>
            </w:tcBorders>
          </w:tcPr>
          <w:p w:rsidR="00155809" w:rsidRDefault="00155809">
            <w:pPr>
              <w:rPr>
                <w:rFonts w:ascii="Times New Roman" w:eastAsia="Times New Roman" w:hAnsi="Times New Roman" w:cs="Times New Roman"/>
                <w:b/>
                <w:bCs/>
                <w:color w:val="000000"/>
                <w:sz w:val="28"/>
                <w:szCs w:val="28"/>
              </w:rPr>
            </w:pPr>
          </w:p>
        </w:tc>
      </w:tr>
      <w:tr w:rsidR="00155809" w:rsidTr="00155809">
        <w:trPr>
          <w:trHeight w:val="220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55809" w:rsidRDefault="00155809">
            <w:pPr>
              <w:rPr>
                <w:rFonts w:ascii="Times New Roman" w:eastAsia="Times New Roman" w:hAnsi="Times New Roman" w:cs="Times New Roman"/>
                <w:b/>
                <w:bCs/>
                <w:color w:val="000000"/>
                <w:sz w:val="24"/>
                <w:szCs w:val="24"/>
              </w:rPr>
            </w:pPr>
          </w:p>
        </w:tc>
        <w:tc>
          <w:tcPr>
            <w:tcW w:w="1191" w:type="dxa"/>
            <w:tcBorders>
              <w:top w:val="nil"/>
              <w:left w:val="nil"/>
              <w:bottom w:val="single" w:sz="4" w:space="0" w:color="auto"/>
              <w:right w:val="single" w:sz="4" w:space="0" w:color="auto"/>
            </w:tcBorders>
            <w:vAlign w:val="center"/>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 xml:space="preserve">побед  и призеры </w:t>
            </w:r>
            <w:proofErr w:type="spellStart"/>
            <w:r>
              <w:rPr>
                <w:rFonts w:ascii="Times New Roman" w:eastAsia="Times New Roman" w:hAnsi="Times New Roman" w:cs="Times New Roman"/>
                <w:b/>
                <w:bCs/>
              </w:rPr>
              <w:t>муницип</w:t>
            </w:r>
            <w:proofErr w:type="spellEnd"/>
            <w:r>
              <w:rPr>
                <w:rFonts w:ascii="Times New Roman" w:eastAsia="Times New Roman" w:hAnsi="Times New Roman" w:cs="Times New Roman"/>
                <w:b/>
                <w:bCs/>
              </w:rPr>
              <w:t xml:space="preserve"> уровня</w:t>
            </w:r>
          </w:p>
        </w:tc>
        <w:tc>
          <w:tcPr>
            <w:tcW w:w="1098" w:type="dxa"/>
            <w:tcBorders>
              <w:top w:val="nil"/>
              <w:left w:val="nil"/>
              <w:bottom w:val="single" w:sz="4" w:space="0" w:color="auto"/>
              <w:right w:val="single" w:sz="4" w:space="0" w:color="auto"/>
            </w:tcBorders>
            <w:vAlign w:val="center"/>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рейтинг</w:t>
            </w:r>
          </w:p>
        </w:tc>
        <w:tc>
          <w:tcPr>
            <w:tcW w:w="1200" w:type="dxa"/>
            <w:tcBorders>
              <w:top w:val="nil"/>
              <w:left w:val="nil"/>
              <w:bottom w:val="single" w:sz="4" w:space="0" w:color="auto"/>
              <w:right w:val="nil"/>
            </w:tcBorders>
            <w:vAlign w:val="center"/>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 xml:space="preserve">побед  и призеры </w:t>
            </w:r>
            <w:proofErr w:type="spellStart"/>
            <w:r>
              <w:rPr>
                <w:rFonts w:ascii="Times New Roman" w:eastAsia="Times New Roman" w:hAnsi="Times New Roman" w:cs="Times New Roman"/>
                <w:b/>
                <w:bCs/>
              </w:rPr>
              <w:t>муницип</w:t>
            </w:r>
            <w:proofErr w:type="spellEnd"/>
            <w:r>
              <w:rPr>
                <w:rFonts w:ascii="Times New Roman" w:eastAsia="Times New Roman" w:hAnsi="Times New Roman" w:cs="Times New Roman"/>
                <w:b/>
                <w:bCs/>
              </w:rPr>
              <w:t xml:space="preserve"> уровня</w:t>
            </w:r>
          </w:p>
        </w:tc>
        <w:tc>
          <w:tcPr>
            <w:tcW w:w="1191" w:type="dxa"/>
            <w:tcBorders>
              <w:top w:val="nil"/>
              <w:left w:val="single" w:sz="4" w:space="0" w:color="auto"/>
              <w:bottom w:val="single" w:sz="4" w:space="0" w:color="auto"/>
              <w:right w:val="single" w:sz="4" w:space="0" w:color="auto"/>
            </w:tcBorders>
            <w:vAlign w:val="center"/>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 xml:space="preserve">побед  и призеры </w:t>
            </w:r>
            <w:proofErr w:type="spellStart"/>
            <w:r>
              <w:rPr>
                <w:rFonts w:ascii="Times New Roman" w:eastAsia="Times New Roman" w:hAnsi="Times New Roman" w:cs="Times New Roman"/>
                <w:b/>
                <w:bCs/>
              </w:rPr>
              <w:t>муницип</w:t>
            </w:r>
            <w:proofErr w:type="spellEnd"/>
            <w:r>
              <w:rPr>
                <w:rFonts w:ascii="Times New Roman" w:eastAsia="Times New Roman" w:hAnsi="Times New Roman" w:cs="Times New Roman"/>
                <w:b/>
                <w:bCs/>
              </w:rPr>
              <w:t xml:space="preserve"> уровня</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 xml:space="preserve">Рейтинг </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МБОУ СОШ №1 г. Чадана</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19</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3</w:t>
            </w:r>
          </w:p>
        </w:tc>
        <w:tc>
          <w:tcPr>
            <w:tcW w:w="1200" w:type="dxa"/>
            <w:tcBorders>
              <w:top w:val="nil"/>
              <w:left w:val="nil"/>
              <w:bottom w:val="single" w:sz="4" w:space="0" w:color="auto"/>
              <w:right w:val="nil"/>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22</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22</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3</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МБОУ СОШ №2 г. Чадана</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18</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4</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18</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13</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7</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МБОУ СОШ №3 г. Чадана</w:t>
            </w:r>
          </w:p>
        </w:tc>
        <w:tc>
          <w:tcPr>
            <w:tcW w:w="1191" w:type="dxa"/>
            <w:tcBorders>
              <w:top w:val="nil"/>
              <w:left w:val="nil"/>
              <w:bottom w:val="single" w:sz="4" w:space="0" w:color="auto"/>
              <w:right w:val="single" w:sz="4" w:space="0" w:color="auto"/>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35</w:t>
            </w:r>
          </w:p>
        </w:tc>
        <w:tc>
          <w:tcPr>
            <w:tcW w:w="1098" w:type="dxa"/>
            <w:tcBorders>
              <w:top w:val="nil"/>
              <w:left w:val="nil"/>
              <w:bottom w:val="single" w:sz="4" w:space="0" w:color="auto"/>
              <w:right w:val="single" w:sz="4" w:space="0" w:color="auto"/>
            </w:tcBorders>
            <w:noWrap/>
            <w:vAlign w:val="center"/>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21</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27</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МБОУ СОШ №4 г. Чадана</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15</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5</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13</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19</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4</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Бажын-Алаакская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14</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5</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14</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18</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5</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Баян-Талинская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3</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9</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3</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 </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color w:val="000000"/>
                <w:sz w:val="24"/>
                <w:szCs w:val="24"/>
              </w:rPr>
            </w:pP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Ийменская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11</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 </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color w:val="000000"/>
                <w:sz w:val="24"/>
                <w:szCs w:val="24"/>
              </w:rPr>
            </w:pP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Теве-Хаинская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16</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5</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7</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8</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9</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Хайыраканская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4</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8</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7</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7</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10</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Хондергейская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25</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29</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26</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2</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Хорум-Дагская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11</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4</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12</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Чыраа-Бажынская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9</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7</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6</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12</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color w:val="000000"/>
              </w:rPr>
            </w:pPr>
          </w:p>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8</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Чыргакинская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2</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10</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5</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5</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11</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xml:space="preserve">МБОУ </w:t>
            </w:r>
            <w:proofErr w:type="spellStart"/>
            <w:r>
              <w:rPr>
                <w:rFonts w:ascii="Calibri" w:eastAsia="Times New Roman" w:hAnsi="Calibri" w:cs="Calibri"/>
              </w:rPr>
              <w:t>Шеминская</w:t>
            </w:r>
            <w:proofErr w:type="spellEnd"/>
            <w:r>
              <w:rPr>
                <w:rFonts w:ascii="Calibri" w:eastAsia="Times New Roman" w:hAnsi="Calibri" w:cs="Calibri"/>
              </w:rPr>
              <w:t xml:space="preserve"> СОШ</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11</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6</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16</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15</w:t>
            </w:r>
          </w:p>
        </w:tc>
        <w:tc>
          <w:tcPr>
            <w:tcW w:w="1191" w:type="dxa"/>
            <w:tcBorders>
              <w:top w:val="nil"/>
              <w:left w:val="single" w:sz="4" w:space="0" w:color="auto"/>
              <w:bottom w:val="single" w:sz="4" w:space="0" w:color="auto"/>
              <w:right w:val="single" w:sz="4" w:space="0" w:color="auto"/>
            </w:tcBorders>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6</w:t>
            </w: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proofErr w:type="spellStart"/>
            <w:r>
              <w:rPr>
                <w:rFonts w:ascii="Calibri" w:eastAsia="Times New Roman" w:hAnsi="Calibri" w:cs="Calibri"/>
              </w:rPr>
              <w:t>Элдиг-Хемская</w:t>
            </w:r>
            <w:proofErr w:type="spellEnd"/>
            <w:r>
              <w:rPr>
                <w:rFonts w:ascii="Calibri" w:eastAsia="Times New Roman" w:hAnsi="Calibri" w:cs="Calibri"/>
              </w:rPr>
              <w:t xml:space="preserve"> школа-интернат</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11</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 </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color w:val="000000"/>
                <w:sz w:val="24"/>
                <w:szCs w:val="24"/>
              </w:rPr>
            </w:pP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МБУ ДОД КЦДЮТТ</w:t>
            </w:r>
          </w:p>
        </w:tc>
        <w:tc>
          <w:tcPr>
            <w:tcW w:w="1191" w:type="dxa"/>
            <w:tcBorders>
              <w:top w:val="nil"/>
              <w:left w:val="nil"/>
              <w:bottom w:val="single" w:sz="4" w:space="0" w:color="auto"/>
              <w:right w:val="single" w:sz="4" w:space="0" w:color="auto"/>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098" w:type="dxa"/>
            <w:tcBorders>
              <w:top w:val="nil"/>
              <w:left w:val="nil"/>
              <w:bottom w:val="single" w:sz="4" w:space="0" w:color="auto"/>
              <w:right w:val="single" w:sz="4" w:space="0" w:color="auto"/>
            </w:tcBorders>
            <w:noWrap/>
            <w:vAlign w:val="center"/>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11</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color w:val="000000"/>
                <w:sz w:val="24"/>
                <w:szCs w:val="24"/>
              </w:rPr>
            </w:pPr>
            <w:r>
              <w:rPr>
                <w:rFonts w:ascii="Calibri" w:eastAsia="Times New Roman" w:hAnsi="Calibri" w:cs="Calibri"/>
              </w:rPr>
              <w:t>0</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rPr>
              <w:t> </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color w:val="000000"/>
                <w:sz w:val="24"/>
                <w:szCs w:val="24"/>
              </w:rPr>
            </w:pPr>
          </w:p>
        </w:tc>
      </w:tr>
      <w:tr w:rsidR="00155809" w:rsidTr="00155809">
        <w:trPr>
          <w:trHeight w:val="315"/>
        </w:trPr>
        <w:tc>
          <w:tcPr>
            <w:tcW w:w="3295" w:type="dxa"/>
            <w:tcBorders>
              <w:top w:val="nil"/>
              <w:left w:val="single" w:sz="4" w:space="0" w:color="auto"/>
              <w:bottom w:val="single" w:sz="4" w:space="0" w:color="auto"/>
              <w:right w:val="single" w:sz="4" w:space="0" w:color="auto"/>
            </w:tcBorders>
            <w:noWrap/>
            <w:hideMark/>
          </w:tcPr>
          <w:p w:rsidR="00155809" w:rsidRDefault="00155809">
            <w:pPr>
              <w:rPr>
                <w:rFonts w:ascii="Calibri" w:eastAsia="Times New Roman" w:hAnsi="Calibri" w:cs="Calibri"/>
                <w:color w:val="000000"/>
                <w:sz w:val="24"/>
                <w:szCs w:val="24"/>
              </w:rPr>
            </w:pPr>
            <w:r>
              <w:rPr>
                <w:rFonts w:ascii="Calibri" w:eastAsia="Times New Roman" w:hAnsi="Calibri" w:cs="Calibri"/>
              </w:rPr>
              <w:t> </w:t>
            </w:r>
          </w:p>
        </w:tc>
        <w:tc>
          <w:tcPr>
            <w:tcW w:w="1191"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b/>
                <w:bCs/>
                <w:color w:val="000000"/>
                <w:sz w:val="24"/>
                <w:szCs w:val="24"/>
              </w:rPr>
            </w:pPr>
            <w:r>
              <w:rPr>
                <w:rFonts w:ascii="Calibri" w:eastAsia="Times New Roman" w:hAnsi="Calibri" w:cs="Calibri"/>
                <w:b/>
                <w:bCs/>
              </w:rPr>
              <w:t>171</w:t>
            </w:r>
          </w:p>
        </w:tc>
        <w:tc>
          <w:tcPr>
            <w:tcW w:w="1098" w:type="dxa"/>
            <w:tcBorders>
              <w:top w:val="nil"/>
              <w:left w:val="nil"/>
              <w:bottom w:val="single" w:sz="4" w:space="0" w:color="auto"/>
              <w:right w:val="single" w:sz="4" w:space="0" w:color="auto"/>
            </w:tcBorders>
            <w:noWrap/>
            <w:hideMark/>
          </w:tcPr>
          <w:p w:rsidR="00155809" w:rsidRDefault="00155809">
            <w:pPr>
              <w:jc w:val="center"/>
              <w:rPr>
                <w:rFonts w:ascii="Calibri" w:eastAsia="Times New Roman" w:hAnsi="Calibri" w:cs="Calibri"/>
                <w:b/>
                <w:bCs/>
                <w:color w:val="000000"/>
                <w:sz w:val="24"/>
                <w:szCs w:val="24"/>
              </w:rPr>
            </w:pPr>
            <w:r>
              <w:rPr>
                <w:rFonts w:ascii="Calibri" w:eastAsia="Times New Roman" w:hAnsi="Calibri" w:cs="Calibri"/>
                <w:b/>
                <w:bCs/>
              </w:rPr>
              <w:t> </w:t>
            </w:r>
          </w:p>
        </w:tc>
        <w:tc>
          <w:tcPr>
            <w:tcW w:w="1200" w:type="dxa"/>
            <w:tcBorders>
              <w:top w:val="nil"/>
              <w:left w:val="nil"/>
              <w:bottom w:val="single" w:sz="4" w:space="0" w:color="auto"/>
              <w:right w:val="nil"/>
            </w:tcBorders>
            <w:noWrap/>
            <w:vAlign w:val="bottom"/>
            <w:hideMark/>
          </w:tcPr>
          <w:p w:rsidR="00155809" w:rsidRDefault="00155809">
            <w:pPr>
              <w:jc w:val="center"/>
              <w:rPr>
                <w:rFonts w:ascii="Calibri" w:eastAsia="Times New Roman" w:hAnsi="Calibri" w:cs="Calibri"/>
                <w:b/>
                <w:bCs/>
                <w:color w:val="000000"/>
                <w:sz w:val="24"/>
                <w:szCs w:val="24"/>
              </w:rPr>
            </w:pPr>
            <w:r>
              <w:rPr>
                <w:rFonts w:ascii="Calibri" w:eastAsia="Times New Roman" w:hAnsi="Calibri" w:cs="Calibri"/>
                <w:b/>
                <w:bCs/>
              </w:rPr>
              <w:t>161</w:t>
            </w:r>
          </w:p>
        </w:tc>
        <w:tc>
          <w:tcPr>
            <w:tcW w:w="1191" w:type="dxa"/>
            <w:tcBorders>
              <w:top w:val="nil"/>
              <w:left w:val="single" w:sz="4" w:space="0" w:color="auto"/>
              <w:bottom w:val="single" w:sz="4" w:space="0" w:color="auto"/>
              <w:right w:val="single" w:sz="4" w:space="0" w:color="auto"/>
            </w:tcBorders>
            <w:noWrap/>
            <w:vAlign w:val="bottom"/>
            <w:hideMark/>
          </w:tcPr>
          <w:p w:rsidR="00155809" w:rsidRDefault="0015580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t>176</w:t>
            </w:r>
          </w:p>
        </w:tc>
        <w:tc>
          <w:tcPr>
            <w:tcW w:w="1191" w:type="dxa"/>
            <w:tcBorders>
              <w:top w:val="nil"/>
              <w:left w:val="single" w:sz="4" w:space="0" w:color="auto"/>
              <w:bottom w:val="single" w:sz="4" w:space="0" w:color="auto"/>
              <w:right w:val="single" w:sz="4" w:space="0" w:color="auto"/>
            </w:tcBorders>
          </w:tcPr>
          <w:p w:rsidR="00155809" w:rsidRDefault="00155809">
            <w:pPr>
              <w:jc w:val="center"/>
              <w:rPr>
                <w:rFonts w:ascii="Times New Roman" w:eastAsia="Times New Roman" w:hAnsi="Times New Roman" w:cs="Times New Roman"/>
                <w:b/>
                <w:bCs/>
                <w:color w:val="000000"/>
                <w:sz w:val="24"/>
                <w:szCs w:val="24"/>
              </w:rPr>
            </w:pPr>
          </w:p>
        </w:tc>
      </w:tr>
    </w:tbl>
    <w:p w:rsidR="00155809" w:rsidRDefault="00155809" w:rsidP="00155809">
      <w:pPr>
        <w:pStyle w:val="11"/>
        <w:shd w:val="clear" w:color="auto" w:fill="auto"/>
        <w:ind w:left="20" w:right="20" w:firstLine="700"/>
      </w:pPr>
    </w:p>
    <w:p w:rsidR="00155809" w:rsidRDefault="00155809" w:rsidP="00155809">
      <w:pPr>
        <w:pStyle w:val="22"/>
        <w:keepNext/>
        <w:keepLines/>
        <w:shd w:val="clear" w:color="auto" w:fill="auto"/>
        <w:spacing w:before="0" w:after="246" w:line="270" w:lineRule="exact"/>
        <w:ind w:left="3220"/>
      </w:pPr>
      <w:bookmarkStart w:id="6" w:name="bookmark7"/>
      <w:r>
        <w:lastRenderedPageBreak/>
        <w:t>1.3. Выводы и заключения</w:t>
      </w:r>
      <w:bookmarkEnd w:id="6"/>
    </w:p>
    <w:p w:rsidR="00155809" w:rsidRDefault="00155809" w:rsidP="00155809">
      <w:pPr>
        <w:pStyle w:val="11"/>
        <w:shd w:val="clear" w:color="auto" w:fill="auto"/>
        <w:ind w:left="20" w:right="20" w:firstLine="640"/>
      </w:pPr>
      <w:r>
        <w:t xml:space="preserve">За последние годы система образования в целом и непосредственно в </w:t>
      </w:r>
      <w:proofErr w:type="spellStart"/>
      <w:r>
        <w:t>Дзун-Хемчикском</w:t>
      </w:r>
      <w:proofErr w:type="spellEnd"/>
      <w:r>
        <w:t xml:space="preserve"> </w:t>
      </w:r>
      <w:proofErr w:type="spellStart"/>
      <w:r>
        <w:t>кожууне</w:t>
      </w:r>
      <w:proofErr w:type="spellEnd"/>
      <w:r>
        <w:t xml:space="preserve"> претерпела значительные изменения, как в плане содержания, так и материально - техническом обеспечении.</w:t>
      </w:r>
    </w:p>
    <w:p w:rsidR="00155809" w:rsidRDefault="00155809" w:rsidP="00155809">
      <w:pPr>
        <w:pStyle w:val="11"/>
        <w:shd w:val="clear" w:color="auto" w:fill="auto"/>
        <w:ind w:left="20" w:right="20" w:firstLine="640"/>
      </w:pPr>
      <w:proofErr w:type="gramStart"/>
      <w:r>
        <w:t>Все это стало возможным благодаря инициативам Президента Российской по следующим направлениям в сфере образования.</w:t>
      </w:r>
      <w:proofErr w:type="gramEnd"/>
    </w:p>
    <w:p w:rsidR="00155809" w:rsidRDefault="00155809" w:rsidP="00155809">
      <w:pPr>
        <w:pStyle w:val="11"/>
        <w:shd w:val="clear" w:color="auto" w:fill="auto"/>
        <w:ind w:left="20" w:right="20" w:firstLine="640"/>
      </w:pPr>
      <w:r>
        <w:t>-государственная поддержка школам, активно внедряющим инновационные образовательные программы;</w:t>
      </w:r>
    </w:p>
    <w:p w:rsidR="00155809" w:rsidRDefault="00155809" w:rsidP="00155809">
      <w:pPr>
        <w:pStyle w:val="11"/>
        <w:numPr>
          <w:ilvl w:val="0"/>
          <w:numId w:val="5"/>
        </w:numPr>
        <w:shd w:val="clear" w:color="auto" w:fill="auto"/>
        <w:tabs>
          <w:tab w:val="left" w:pos="823"/>
        </w:tabs>
        <w:ind w:left="20" w:firstLine="640"/>
      </w:pPr>
      <w:r>
        <w:t>ежегодное поощрение лучших учителей денежными премиями;</w:t>
      </w:r>
    </w:p>
    <w:p w:rsidR="00155809" w:rsidRDefault="00155809" w:rsidP="00155809">
      <w:pPr>
        <w:pStyle w:val="11"/>
        <w:numPr>
          <w:ilvl w:val="0"/>
          <w:numId w:val="5"/>
        </w:numPr>
        <w:shd w:val="clear" w:color="auto" w:fill="auto"/>
        <w:tabs>
          <w:tab w:val="left" w:pos="932"/>
        </w:tabs>
        <w:ind w:left="20" w:right="20" w:firstLine="640"/>
      </w:pPr>
      <w:r>
        <w:t>выплата дополнительного ежемесячного денежного вознаграждения за классное руководство, включая учителей начальных классов;</w:t>
      </w:r>
    </w:p>
    <w:p w:rsidR="00155809" w:rsidRDefault="00155809" w:rsidP="00155809">
      <w:pPr>
        <w:pStyle w:val="11"/>
        <w:numPr>
          <w:ilvl w:val="0"/>
          <w:numId w:val="5"/>
        </w:numPr>
        <w:shd w:val="clear" w:color="auto" w:fill="auto"/>
        <w:tabs>
          <w:tab w:val="left" w:pos="818"/>
        </w:tabs>
        <w:ind w:left="20" w:firstLine="640"/>
      </w:pPr>
      <w:r>
        <w:t>поставка в школы компьютерного оборудования;</w:t>
      </w:r>
    </w:p>
    <w:p w:rsidR="00155809" w:rsidRDefault="00155809" w:rsidP="00155809">
      <w:pPr>
        <w:pStyle w:val="11"/>
        <w:numPr>
          <w:ilvl w:val="0"/>
          <w:numId w:val="5"/>
        </w:numPr>
        <w:shd w:val="clear" w:color="auto" w:fill="auto"/>
        <w:tabs>
          <w:tab w:val="left" w:pos="818"/>
        </w:tabs>
        <w:ind w:left="20" w:firstLine="640"/>
      </w:pPr>
      <w:r>
        <w:t>подключение школ к сети Интернет;</w:t>
      </w:r>
    </w:p>
    <w:p w:rsidR="00155809" w:rsidRDefault="00155809" w:rsidP="00155809">
      <w:pPr>
        <w:pStyle w:val="11"/>
        <w:numPr>
          <w:ilvl w:val="0"/>
          <w:numId w:val="5"/>
        </w:numPr>
        <w:shd w:val="clear" w:color="auto" w:fill="auto"/>
        <w:tabs>
          <w:tab w:val="left" w:pos="908"/>
        </w:tabs>
        <w:ind w:left="20" w:right="20" w:firstLine="640"/>
      </w:pPr>
      <w:r>
        <w:t>ежегодное приобретение школьных автобусов на условиях паритетного финансирования;</w:t>
      </w:r>
    </w:p>
    <w:p w:rsidR="00155809" w:rsidRDefault="00155809" w:rsidP="00155809">
      <w:pPr>
        <w:pStyle w:val="11"/>
        <w:numPr>
          <w:ilvl w:val="0"/>
          <w:numId w:val="5"/>
        </w:numPr>
        <w:shd w:val="clear" w:color="auto" w:fill="auto"/>
        <w:tabs>
          <w:tab w:val="left" w:pos="823"/>
        </w:tabs>
        <w:ind w:left="20" w:firstLine="640"/>
      </w:pPr>
      <w:r>
        <w:t>оснащение школ учебно-наглядными пособиями и оборудованием;</w:t>
      </w:r>
    </w:p>
    <w:p w:rsidR="00155809" w:rsidRDefault="00155809" w:rsidP="00155809">
      <w:pPr>
        <w:pStyle w:val="11"/>
        <w:numPr>
          <w:ilvl w:val="0"/>
          <w:numId w:val="5"/>
        </w:numPr>
        <w:shd w:val="clear" w:color="auto" w:fill="auto"/>
        <w:tabs>
          <w:tab w:val="left" w:pos="1038"/>
        </w:tabs>
        <w:ind w:left="20" w:right="40" w:firstLine="800"/>
      </w:pPr>
      <w:r>
        <w:t>изменение системы оплаты труда, направленного на повышение доходов учителей;</w:t>
      </w:r>
    </w:p>
    <w:p w:rsidR="00155809" w:rsidRDefault="00155809" w:rsidP="00155809">
      <w:pPr>
        <w:pStyle w:val="11"/>
        <w:numPr>
          <w:ilvl w:val="0"/>
          <w:numId w:val="5"/>
        </w:numPr>
        <w:shd w:val="clear" w:color="auto" w:fill="auto"/>
        <w:tabs>
          <w:tab w:val="left" w:pos="879"/>
        </w:tabs>
        <w:ind w:left="20" w:right="40" w:firstLine="800"/>
      </w:pPr>
      <w:r>
        <w:t xml:space="preserve">повышение эффективности расходования бюджетных средств путем введения нормативно - </w:t>
      </w:r>
      <w:proofErr w:type="spellStart"/>
      <w:r>
        <w:t>подушевого</w:t>
      </w:r>
      <w:proofErr w:type="spellEnd"/>
      <w:r>
        <w:t xml:space="preserve"> финансирования общеобразовательных учреждений;</w:t>
      </w:r>
    </w:p>
    <w:p w:rsidR="00155809" w:rsidRDefault="00155809" w:rsidP="00155809">
      <w:pPr>
        <w:pStyle w:val="11"/>
        <w:numPr>
          <w:ilvl w:val="0"/>
          <w:numId w:val="5"/>
        </w:numPr>
        <w:shd w:val="clear" w:color="auto" w:fill="auto"/>
        <w:tabs>
          <w:tab w:val="left" w:pos="1100"/>
        </w:tabs>
        <w:ind w:left="20" w:right="40" w:firstLine="800"/>
      </w:pPr>
      <w:r>
        <w:t>создание соответствующих современным требованиям условий обучения для повышения качества общего образования;</w:t>
      </w:r>
    </w:p>
    <w:p w:rsidR="00155809" w:rsidRDefault="00155809" w:rsidP="00155809">
      <w:pPr>
        <w:pStyle w:val="11"/>
        <w:numPr>
          <w:ilvl w:val="0"/>
          <w:numId w:val="5"/>
        </w:numPr>
        <w:shd w:val="clear" w:color="auto" w:fill="auto"/>
        <w:tabs>
          <w:tab w:val="left" w:pos="1153"/>
        </w:tabs>
        <w:ind w:left="20" w:right="40" w:firstLine="800"/>
      </w:pPr>
      <w:r>
        <w:t>разработка и внедрение объективной независимой системы мониторинга и оценки качества образования;</w:t>
      </w:r>
    </w:p>
    <w:p w:rsidR="00155809" w:rsidRDefault="00155809" w:rsidP="00155809">
      <w:pPr>
        <w:pStyle w:val="11"/>
        <w:numPr>
          <w:ilvl w:val="0"/>
          <w:numId w:val="5"/>
        </w:numPr>
        <w:shd w:val="clear" w:color="auto" w:fill="auto"/>
        <w:tabs>
          <w:tab w:val="left" w:pos="1047"/>
        </w:tabs>
        <w:ind w:left="20" w:right="40" w:firstLine="800"/>
      </w:pPr>
      <w:r>
        <w:t>обеспечение государственно-общественного характера управления образованием;</w:t>
      </w:r>
    </w:p>
    <w:p w:rsidR="00155809" w:rsidRDefault="00155809" w:rsidP="00155809">
      <w:pPr>
        <w:pStyle w:val="11"/>
        <w:numPr>
          <w:ilvl w:val="0"/>
          <w:numId w:val="5"/>
        </w:numPr>
        <w:shd w:val="clear" w:color="auto" w:fill="auto"/>
        <w:tabs>
          <w:tab w:val="left" w:pos="978"/>
        </w:tabs>
        <w:ind w:left="20" w:firstLine="800"/>
      </w:pPr>
      <w:r>
        <w:t>переход на новые образовательные стандарты;</w:t>
      </w:r>
    </w:p>
    <w:p w:rsidR="00155809" w:rsidRDefault="00155809" w:rsidP="00155809">
      <w:pPr>
        <w:pStyle w:val="11"/>
        <w:numPr>
          <w:ilvl w:val="0"/>
          <w:numId w:val="5"/>
        </w:numPr>
        <w:shd w:val="clear" w:color="auto" w:fill="auto"/>
        <w:tabs>
          <w:tab w:val="left" w:pos="978"/>
        </w:tabs>
        <w:ind w:left="20" w:firstLine="800"/>
      </w:pPr>
      <w:r>
        <w:t>развитие системы поддержки талантливых детей;</w:t>
      </w:r>
    </w:p>
    <w:p w:rsidR="00155809" w:rsidRDefault="00155809" w:rsidP="00155809">
      <w:pPr>
        <w:pStyle w:val="11"/>
        <w:numPr>
          <w:ilvl w:val="0"/>
          <w:numId w:val="5"/>
        </w:numPr>
        <w:shd w:val="clear" w:color="auto" w:fill="auto"/>
        <w:tabs>
          <w:tab w:val="left" w:pos="983"/>
        </w:tabs>
        <w:ind w:left="20" w:firstLine="800"/>
      </w:pPr>
      <w:r>
        <w:t>совершенствование учительского корпуса;</w:t>
      </w:r>
    </w:p>
    <w:p w:rsidR="00155809" w:rsidRDefault="00155809" w:rsidP="00155809">
      <w:pPr>
        <w:pStyle w:val="11"/>
        <w:numPr>
          <w:ilvl w:val="0"/>
          <w:numId w:val="5"/>
        </w:numPr>
        <w:shd w:val="clear" w:color="auto" w:fill="auto"/>
        <w:tabs>
          <w:tab w:val="left" w:pos="978"/>
        </w:tabs>
        <w:ind w:left="20" w:firstLine="800"/>
      </w:pPr>
      <w:r>
        <w:t>изменение школьной инфраструктуры;</w:t>
      </w:r>
    </w:p>
    <w:p w:rsidR="00155809" w:rsidRDefault="00155809" w:rsidP="00155809">
      <w:pPr>
        <w:pStyle w:val="11"/>
        <w:numPr>
          <w:ilvl w:val="0"/>
          <w:numId w:val="5"/>
        </w:numPr>
        <w:shd w:val="clear" w:color="auto" w:fill="auto"/>
        <w:tabs>
          <w:tab w:val="left" w:pos="983"/>
        </w:tabs>
        <w:ind w:left="20" w:firstLine="800"/>
      </w:pPr>
      <w:r>
        <w:t>сохранение и укрепление здоровья школьников;</w:t>
      </w:r>
    </w:p>
    <w:p w:rsidR="00155809" w:rsidRDefault="00155809" w:rsidP="00155809">
      <w:pPr>
        <w:pStyle w:val="11"/>
        <w:numPr>
          <w:ilvl w:val="0"/>
          <w:numId w:val="5"/>
        </w:numPr>
        <w:shd w:val="clear" w:color="auto" w:fill="auto"/>
        <w:tabs>
          <w:tab w:val="left" w:pos="978"/>
        </w:tabs>
        <w:ind w:left="20" w:firstLine="800"/>
      </w:pPr>
      <w:r>
        <w:t>расширение самостоятельности школ;</w:t>
      </w:r>
    </w:p>
    <w:p w:rsidR="00155809" w:rsidRDefault="00155809" w:rsidP="00155809">
      <w:pPr>
        <w:pStyle w:val="11"/>
        <w:numPr>
          <w:ilvl w:val="0"/>
          <w:numId w:val="5"/>
        </w:numPr>
        <w:shd w:val="clear" w:color="auto" w:fill="auto"/>
        <w:tabs>
          <w:tab w:val="left" w:pos="1297"/>
        </w:tabs>
        <w:ind w:left="20" w:right="40" w:firstLine="800"/>
      </w:pPr>
      <w:r>
        <w:t>доведение уровня заработной платы учителей до уровня среднемесячной заработной платы в целом в экономике региона;</w:t>
      </w:r>
    </w:p>
    <w:p w:rsidR="00155809" w:rsidRDefault="00155809" w:rsidP="00155809">
      <w:pPr>
        <w:pStyle w:val="11"/>
        <w:numPr>
          <w:ilvl w:val="0"/>
          <w:numId w:val="5"/>
        </w:numPr>
        <w:shd w:val="clear" w:color="auto" w:fill="auto"/>
        <w:tabs>
          <w:tab w:val="left" w:pos="1278"/>
        </w:tabs>
        <w:ind w:left="20" w:right="40" w:firstLine="800"/>
      </w:pPr>
      <w:r>
        <w:t>создание современных условий для обучения детей путем переоснащения материально - технической базы школ;</w:t>
      </w:r>
    </w:p>
    <w:p w:rsidR="00155809" w:rsidRDefault="00155809" w:rsidP="00155809">
      <w:pPr>
        <w:pStyle w:val="11"/>
        <w:numPr>
          <w:ilvl w:val="0"/>
          <w:numId w:val="5"/>
        </w:numPr>
        <w:shd w:val="clear" w:color="auto" w:fill="auto"/>
        <w:tabs>
          <w:tab w:val="left" w:pos="978"/>
        </w:tabs>
        <w:ind w:left="20" w:firstLine="800"/>
      </w:pPr>
      <w:r>
        <w:t>повышение квалификации педагогических и управленческих кадров;</w:t>
      </w:r>
    </w:p>
    <w:p w:rsidR="00155809" w:rsidRDefault="00155809" w:rsidP="00155809">
      <w:pPr>
        <w:pStyle w:val="11"/>
        <w:shd w:val="clear" w:color="auto" w:fill="auto"/>
        <w:ind w:left="20" w:right="40" w:firstLine="520"/>
      </w:pPr>
      <w:r>
        <w:t xml:space="preserve">Заработная плата педагогических работников за 2018 год в школах составила 30088 руб., что на 14 % выше, чем за 2017 год, на 6 % выше, чем за 2016 год, на 1% выше, чем за 2015 год и на 7 % выше, чем за 2014 год; </w:t>
      </w:r>
      <w:proofErr w:type="gramStart"/>
      <w:r>
        <w:t xml:space="preserve">в детских садах за 2018 год составила 26540 руб., что на 7 % выше, чем за 2017 год, на 27% выше, чем за 2016 год, на 6% выше, чем за 2015 год и на 1% выше, чем за 2014 год, в учреждениях дополнительного образования за 2018 год </w:t>
      </w:r>
      <w:r>
        <w:lastRenderedPageBreak/>
        <w:t>составила 29400 руб., что на 7% выше, чем за 2017 год, что на 48</w:t>
      </w:r>
      <w:proofErr w:type="gramEnd"/>
      <w:r>
        <w:t>% выше, чем за 2016 год, на 12% выше, чем за 2015 год и на 6% выше, чем за 2014 год.</w:t>
      </w:r>
    </w:p>
    <w:p w:rsidR="00155809" w:rsidRDefault="00155809" w:rsidP="00155809">
      <w:pPr>
        <w:pStyle w:val="11"/>
        <w:numPr>
          <w:ilvl w:val="0"/>
          <w:numId w:val="5"/>
        </w:numPr>
        <w:shd w:val="clear" w:color="auto" w:fill="auto"/>
        <w:ind w:left="20" w:right="40" w:firstLine="520"/>
      </w:pPr>
      <w:r>
        <w:t>В 2018 году планировалось обеспечить заработную плату на уровне, не ниже 2017 года.</w:t>
      </w:r>
    </w:p>
    <w:p w:rsidR="00155809" w:rsidRDefault="00155809" w:rsidP="00155809">
      <w:pPr>
        <w:pStyle w:val="11"/>
        <w:numPr>
          <w:ilvl w:val="0"/>
          <w:numId w:val="5"/>
        </w:numPr>
        <w:shd w:val="clear" w:color="auto" w:fill="auto"/>
        <w:tabs>
          <w:tab w:val="left" w:pos="1090"/>
        </w:tabs>
        <w:ind w:left="20" w:right="40" w:firstLine="800"/>
      </w:pPr>
      <w:r>
        <w:t>разработка механизма привлечения молодых учителей для работы в школах.</w:t>
      </w:r>
    </w:p>
    <w:p w:rsidR="00155809" w:rsidRDefault="00155809" w:rsidP="00155809">
      <w:pPr>
        <w:pStyle w:val="11"/>
        <w:shd w:val="clear" w:color="auto" w:fill="auto"/>
        <w:ind w:left="20" w:right="40" w:firstLine="520"/>
      </w:pPr>
      <w:r>
        <w:t>В ходе модернизации общего образования улучшена инфраструктура и материально - техническое обеспечение общеобразовательных учреждений. В школы поставлено учебно-лабораторное и учебно-производственное оборудование, спортивное и компьютерное оборудование, оборудование для школьных столовых и пищеблоков, спортивный инвентарь, а также оборудование локальных вычислительных сетей. Были пополнены художественной и справочной литературой фонды школьных библиотек.</w:t>
      </w:r>
    </w:p>
    <w:p w:rsidR="00155809" w:rsidRDefault="00155809" w:rsidP="00155809">
      <w:pPr>
        <w:pStyle w:val="11"/>
        <w:shd w:val="clear" w:color="auto" w:fill="auto"/>
        <w:ind w:left="20" w:right="40" w:firstLine="800"/>
      </w:pPr>
      <w:r>
        <w:t>Выполнены обязательства по повышению квалификации и профессиональной подготовки педагогических работников для работы в соответствии с федеральными государственными образовательными стандартами.</w:t>
      </w:r>
    </w:p>
    <w:p w:rsidR="00155809" w:rsidRDefault="00155809" w:rsidP="00155809">
      <w:pPr>
        <w:pStyle w:val="11"/>
        <w:shd w:val="clear" w:color="auto" w:fill="auto"/>
        <w:ind w:left="20" w:right="20" w:firstLine="700"/>
      </w:pPr>
      <w:proofErr w:type="gramStart"/>
      <w:r>
        <w:t xml:space="preserve">Управлением образования администрации муниципального образования Дзун-Хемчикского кожууна большое внимание уделяется приоритетным направлениям образовательной политики: духовно - нравственному, патриотическому, трудовому, </w:t>
      </w:r>
      <w:proofErr w:type="spellStart"/>
      <w:r>
        <w:t>эколого</w:t>
      </w:r>
      <w:proofErr w:type="spellEnd"/>
      <w:r>
        <w:t xml:space="preserve"> - биологическому воспитанию детей, формированию их здорового образа жизни, развитию массового детского спорта и туризма, профилактике безнадзорности и правонарушений, обеспечению безопасности, защите жизни и здоровья учащихся и воспитанников, а также предоставлению дистанционного образования детям - инвалидам.</w:t>
      </w:r>
      <w:proofErr w:type="gramEnd"/>
    </w:p>
    <w:p w:rsidR="00155809" w:rsidRDefault="00155809" w:rsidP="00155809">
      <w:pPr>
        <w:pStyle w:val="11"/>
        <w:shd w:val="clear" w:color="auto" w:fill="auto"/>
        <w:ind w:left="20" w:right="20" w:firstLine="700"/>
      </w:pPr>
      <w:r>
        <w:t xml:space="preserve">Ежегодно большое внимание уделяется укреплению материально- технической базы образовательных учреждений, улучшению условий труда учителей, охраны жизни и здоровья учащихся и работников, приведению зданий и помещений образовательных учреждений в соответствии с требованиями </w:t>
      </w:r>
      <w:proofErr w:type="spellStart"/>
      <w:r>
        <w:t>СанПиН</w:t>
      </w:r>
      <w:proofErr w:type="spellEnd"/>
      <w:r>
        <w:t xml:space="preserve"> и норм противопожарной безопасности.</w:t>
      </w:r>
    </w:p>
    <w:p w:rsidR="00155809" w:rsidRDefault="00155809" w:rsidP="00155809">
      <w:pPr>
        <w:pStyle w:val="11"/>
        <w:shd w:val="clear" w:color="auto" w:fill="auto"/>
        <w:ind w:left="20" w:right="20" w:firstLine="540"/>
      </w:pPr>
      <w:r>
        <w:t xml:space="preserve">В 2018-2019 годах планируется строительство детского сада на 280 мест по адресу: </w:t>
      </w:r>
      <w:proofErr w:type="gramStart"/>
      <w:r>
        <w:t>г</w:t>
      </w:r>
      <w:proofErr w:type="gramEnd"/>
      <w:r>
        <w:t xml:space="preserve">. Чадан, ул. Надя </w:t>
      </w:r>
      <w:proofErr w:type="spellStart"/>
      <w:r>
        <w:t>Рушева</w:t>
      </w:r>
      <w:proofErr w:type="spellEnd"/>
      <w:r>
        <w:t xml:space="preserve"> 11. </w:t>
      </w:r>
    </w:p>
    <w:p w:rsidR="00155809" w:rsidRDefault="00155809" w:rsidP="00155809">
      <w:pPr>
        <w:pStyle w:val="11"/>
        <w:shd w:val="clear" w:color="auto" w:fill="auto"/>
        <w:ind w:left="140" w:right="20" w:firstLine="700"/>
      </w:pPr>
      <w:r>
        <w:t>В системе образовательных учреждений муниципального образования работают около ___ педагогических работника. Управлением образования ведется работа по обеспечению педагогическими кадрами муниципальных общеобразовательных учреждений. В целях устранения дефицита педагогических кадров в образовательных учреждениях проводится работа по мотивации школьников на получение педагогической профессии.</w:t>
      </w:r>
    </w:p>
    <w:p w:rsidR="00155809" w:rsidRDefault="00155809" w:rsidP="00155809">
      <w:pPr>
        <w:pStyle w:val="11"/>
        <w:shd w:val="clear" w:color="auto" w:fill="auto"/>
        <w:spacing w:after="39"/>
        <w:ind w:left="140" w:right="20" w:firstLine="700"/>
      </w:pPr>
      <w:r>
        <w:t xml:space="preserve">В целом образование в </w:t>
      </w:r>
      <w:proofErr w:type="spellStart"/>
      <w:r>
        <w:t>кожууне</w:t>
      </w:r>
      <w:proofErr w:type="spellEnd"/>
      <w:r>
        <w:t xml:space="preserve"> отличается стабильностью и взаимосвязанностью всех его ступеней. Необходимо и далее совершенствовать подходы, которые будут способствовать повышению качественных показателей системы образования Дзун-Хемчикского кожууна.</w:t>
      </w:r>
    </w:p>
    <w:p w:rsidR="00155809" w:rsidRDefault="00155809" w:rsidP="00155809">
      <w:pPr>
        <w:pStyle w:val="11"/>
        <w:shd w:val="clear" w:color="auto" w:fill="auto"/>
        <w:spacing w:after="39"/>
        <w:ind w:left="140" w:right="20" w:firstLine="700"/>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155809" w:rsidRDefault="00155809" w:rsidP="00155809">
      <w:pPr>
        <w:pStyle w:val="11"/>
        <w:shd w:val="clear" w:color="auto" w:fill="auto"/>
        <w:spacing w:after="39"/>
        <w:ind w:left="140" w:right="20" w:firstLine="700"/>
        <w:rPr>
          <w:highlight w:val="yellow"/>
        </w:rPr>
      </w:pPr>
    </w:p>
    <w:p w:rsidR="005F5347" w:rsidRDefault="005F5347"/>
    <w:sectPr w:rsidR="005F5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1F05"/>
    <w:multiLevelType w:val="multilevel"/>
    <w:tmpl w:val="6748D1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E2E2E1A"/>
    <w:multiLevelType w:val="multilevel"/>
    <w:tmpl w:val="90769F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890E35"/>
    <w:multiLevelType w:val="multilevel"/>
    <w:tmpl w:val="4E0470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3"/>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285468A"/>
    <w:multiLevelType w:val="multilevel"/>
    <w:tmpl w:val="E2D818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99D0A9B"/>
    <w:multiLevelType w:val="hybridMultilevel"/>
    <w:tmpl w:val="FBB4DC86"/>
    <w:lvl w:ilvl="0" w:tplc="98DA92BE">
      <w:start w:val="1"/>
      <w:numFmt w:val="decimal"/>
      <w:lvlText w:val="%1."/>
      <w:lvlJc w:val="left"/>
      <w:pPr>
        <w:ind w:left="11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3"/>
    </w:lvlOverride>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5809"/>
    <w:rsid w:val="00155809"/>
    <w:rsid w:val="005F5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55809"/>
    <w:pPr>
      <w:shd w:val="clear" w:color="auto" w:fill="FFFFFF"/>
      <w:spacing w:before="420" w:after="300" w:line="322" w:lineRule="exact"/>
      <w:ind w:hanging="460"/>
      <w:jc w:val="center"/>
    </w:pPr>
    <w:rPr>
      <w:rFonts w:ascii="Times New Roman" w:eastAsia="Arial Unicode MS" w:hAnsi="Times New Roman" w:cs="Times New Roman"/>
      <w:sz w:val="28"/>
      <w:szCs w:val="28"/>
    </w:rPr>
  </w:style>
  <w:style w:type="character" w:customStyle="1" w:styleId="a4">
    <w:name w:val="Основной текст Знак"/>
    <w:basedOn w:val="a0"/>
    <w:link w:val="a3"/>
    <w:uiPriority w:val="99"/>
    <w:semiHidden/>
    <w:rsid w:val="00155809"/>
    <w:rPr>
      <w:rFonts w:ascii="Times New Roman" w:eastAsia="Arial Unicode MS" w:hAnsi="Times New Roman" w:cs="Times New Roman"/>
      <w:sz w:val="28"/>
      <w:szCs w:val="28"/>
      <w:shd w:val="clear" w:color="auto" w:fill="FFFFFF"/>
    </w:rPr>
  </w:style>
  <w:style w:type="character" w:customStyle="1" w:styleId="2">
    <w:name w:val="Основной текст (2)_"/>
    <w:basedOn w:val="a0"/>
    <w:link w:val="20"/>
    <w:locked/>
    <w:rsid w:val="00155809"/>
    <w:rPr>
      <w:rFonts w:ascii="Times New Roman" w:eastAsia="Times New Roman" w:hAnsi="Times New Roman" w:cs="Times New Roman"/>
      <w:sz w:val="34"/>
      <w:szCs w:val="34"/>
      <w:shd w:val="clear" w:color="auto" w:fill="FFFFFF"/>
    </w:rPr>
  </w:style>
  <w:style w:type="paragraph" w:customStyle="1" w:styleId="20">
    <w:name w:val="Основной текст (2)"/>
    <w:basedOn w:val="a"/>
    <w:link w:val="2"/>
    <w:rsid w:val="00155809"/>
    <w:pPr>
      <w:shd w:val="clear" w:color="auto" w:fill="FFFFFF"/>
      <w:spacing w:after="4440" w:line="418" w:lineRule="exact"/>
      <w:jc w:val="center"/>
    </w:pPr>
    <w:rPr>
      <w:rFonts w:ascii="Times New Roman" w:eastAsia="Times New Roman" w:hAnsi="Times New Roman" w:cs="Times New Roman"/>
      <w:sz w:val="34"/>
      <w:szCs w:val="34"/>
    </w:rPr>
  </w:style>
  <w:style w:type="character" w:customStyle="1" w:styleId="1">
    <w:name w:val="Заголовок №1_"/>
    <w:basedOn w:val="a0"/>
    <w:link w:val="10"/>
    <w:locked/>
    <w:rsid w:val="00155809"/>
    <w:rPr>
      <w:rFonts w:ascii="Times New Roman" w:eastAsia="Times New Roman" w:hAnsi="Times New Roman" w:cs="Times New Roman"/>
      <w:spacing w:val="-10"/>
      <w:sz w:val="89"/>
      <w:szCs w:val="89"/>
      <w:shd w:val="clear" w:color="auto" w:fill="FFFFFF"/>
    </w:rPr>
  </w:style>
  <w:style w:type="paragraph" w:customStyle="1" w:styleId="10">
    <w:name w:val="Заголовок №1"/>
    <w:basedOn w:val="a"/>
    <w:link w:val="1"/>
    <w:rsid w:val="00155809"/>
    <w:pPr>
      <w:shd w:val="clear" w:color="auto" w:fill="FFFFFF"/>
      <w:spacing w:before="4440" w:after="360" w:line="0" w:lineRule="atLeast"/>
      <w:jc w:val="center"/>
      <w:outlineLvl w:val="0"/>
    </w:pPr>
    <w:rPr>
      <w:rFonts w:ascii="Times New Roman" w:eastAsia="Times New Roman" w:hAnsi="Times New Roman" w:cs="Times New Roman"/>
      <w:spacing w:val="-10"/>
      <w:sz w:val="89"/>
      <w:szCs w:val="89"/>
    </w:rPr>
  </w:style>
  <w:style w:type="character" w:customStyle="1" w:styleId="3">
    <w:name w:val="Основной текст (3)_"/>
    <w:basedOn w:val="a0"/>
    <w:link w:val="30"/>
    <w:locked/>
    <w:rsid w:val="00155809"/>
    <w:rPr>
      <w:rFonts w:ascii="Times New Roman" w:eastAsia="Times New Roman" w:hAnsi="Times New Roman" w:cs="Times New Roman"/>
      <w:sz w:val="54"/>
      <w:szCs w:val="54"/>
      <w:shd w:val="clear" w:color="auto" w:fill="FFFFFF"/>
    </w:rPr>
  </w:style>
  <w:style w:type="paragraph" w:customStyle="1" w:styleId="30">
    <w:name w:val="Основной текст (3)"/>
    <w:basedOn w:val="a"/>
    <w:link w:val="3"/>
    <w:rsid w:val="00155809"/>
    <w:pPr>
      <w:shd w:val="clear" w:color="auto" w:fill="FFFFFF"/>
      <w:spacing w:before="360" w:after="0" w:line="643" w:lineRule="exact"/>
      <w:jc w:val="center"/>
    </w:pPr>
    <w:rPr>
      <w:rFonts w:ascii="Times New Roman" w:eastAsia="Times New Roman" w:hAnsi="Times New Roman" w:cs="Times New Roman"/>
      <w:sz w:val="54"/>
      <w:szCs w:val="54"/>
    </w:rPr>
  </w:style>
  <w:style w:type="character" w:customStyle="1" w:styleId="4">
    <w:name w:val="Основной текст (4)_"/>
    <w:basedOn w:val="a0"/>
    <w:link w:val="40"/>
    <w:locked/>
    <w:rsid w:val="00155809"/>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155809"/>
    <w:pPr>
      <w:shd w:val="clear" w:color="auto" w:fill="FFFFFF"/>
      <w:spacing w:after="60" w:line="235" w:lineRule="exact"/>
      <w:jc w:val="center"/>
    </w:pPr>
    <w:rPr>
      <w:rFonts w:ascii="Times New Roman" w:eastAsia="Times New Roman" w:hAnsi="Times New Roman" w:cs="Times New Roman"/>
      <w:sz w:val="17"/>
      <w:szCs w:val="17"/>
    </w:rPr>
  </w:style>
  <w:style w:type="character" w:customStyle="1" w:styleId="5">
    <w:name w:val="Основной текст (5)_"/>
    <w:basedOn w:val="a0"/>
    <w:link w:val="50"/>
    <w:locked/>
    <w:rsid w:val="00155809"/>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155809"/>
    <w:pPr>
      <w:shd w:val="clear" w:color="auto" w:fill="FFFFFF"/>
      <w:spacing w:after="0" w:line="648" w:lineRule="exact"/>
      <w:jc w:val="center"/>
    </w:pPr>
    <w:rPr>
      <w:rFonts w:ascii="Times New Roman" w:eastAsia="Times New Roman" w:hAnsi="Times New Roman" w:cs="Times New Roman"/>
      <w:sz w:val="27"/>
      <w:szCs w:val="27"/>
    </w:rPr>
  </w:style>
  <w:style w:type="character" w:customStyle="1" w:styleId="a5">
    <w:name w:val="Основной текст_"/>
    <w:basedOn w:val="a0"/>
    <w:link w:val="11"/>
    <w:locked/>
    <w:rsid w:val="00155809"/>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155809"/>
    <w:pPr>
      <w:shd w:val="clear" w:color="auto" w:fill="FFFFFF"/>
      <w:spacing w:after="0" w:line="322" w:lineRule="exact"/>
      <w:ind w:hanging="280"/>
      <w:jc w:val="both"/>
    </w:pPr>
    <w:rPr>
      <w:rFonts w:ascii="Times New Roman" w:eastAsia="Times New Roman" w:hAnsi="Times New Roman" w:cs="Times New Roman"/>
      <w:sz w:val="27"/>
      <w:szCs w:val="27"/>
    </w:rPr>
  </w:style>
  <w:style w:type="character" w:customStyle="1" w:styleId="21">
    <w:name w:val="Заголовок №2_"/>
    <w:basedOn w:val="a0"/>
    <w:link w:val="22"/>
    <w:locked/>
    <w:rsid w:val="00155809"/>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155809"/>
    <w:pPr>
      <w:shd w:val="clear" w:color="auto" w:fill="FFFFFF"/>
      <w:spacing w:before="300" w:after="0" w:line="0" w:lineRule="atLeast"/>
      <w:outlineLvl w:val="1"/>
    </w:pPr>
    <w:rPr>
      <w:rFonts w:ascii="Times New Roman" w:eastAsia="Times New Roman" w:hAnsi="Times New Roman" w:cs="Times New Roman"/>
      <w:sz w:val="27"/>
      <w:szCs w:val="27"/>
    </w:rPr>
  </w:style>
  <w:style w:type="character" w:customStyle="1" w:styleId="31">
    <w:name w:val="Заголовок №3"/>
    <w:basedOn w:val="a0"/>
    <w:rsid w:val="00155809"/>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1pt">
    <w:name w:val="Основной текст + Интервал -1 pt"/>
    <w:basedOn w:val="a5"/>
    <w:rsid w:val="00155809"/>
    <w:rPr>
      <w:spacing w:val="-20"/>
    </w:rPr>
  </w:style>
</w:styles>
</file>

<file path=word/webSettings.xml><?xml version="1.0" encoding="utf-8"?>
<w:webSettings xmlns:r="http://schemas.openxmlformats.org/officeDocument/2006/relationships" xmlns:w="http://schemas.openxmlformats.org/wordprocessingml/2006/main">
  <w:divs>
    <w:div w:id="778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5122</Words>
  <Characters>29200</Characters>
  <Application>Microsoft Office Word</Application>
  <DocSecurity>0</DocSecurity>
  <Lines>243</Lines>
  <Paragraphs>68</Paragraphs>
  <ScaleCrop>false</ScaleCrop>
  <Company>MultiDVD Team</Company>
  <LinksUpToDate>false</LinksUpToDate>
  <CharactersWithSpaces>34254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2019-03-14T00:02:00Z</dcterms:created>
  <dcterms:modified xsi:type="dcterms:W3CDTF">2019-03-14T00:02:00Z</dcterms:modified>
</cp:coreProperties>
</file>